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9766" w14:textId="77777777" w:rsidR="00F23A87" w:rsidRPr="00423F40" w:rsidRDefault="00F23A87" w:rsidP="00F23A87">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0A32D0A4" w14:textId="734C29DE" w:rsidR="00F23A87" w:rsidRDefault="00F23A87" w:rsidP="00F23A87">
      <w:pPr>
        <w:spacing w:after="0"/>
      </w:pPr>
      <w:r>
        <w:t>October</w:t>
      </w:r>
      <w:r>
        <w:t xml:space="preserve"> 1, 2018 Meeting</w:t>
      </w:r>
    </w:p>
    <w:p w14:paraId="5A7AD9FA" w14:textId="77777777" w:rsidR="00F23A87" w:rsidRDefault="00F23A87" w:rsidP="00F23A87">
      <w:pPr>
        <w:spacing w:after="0"/>
      </w:pPr>
      <w:r>
        <w:t xml:space="preserve">Version 1, By Ben </w:t>
      </w:r>
      <w:proofErr w:type="spellStart"/>
      <w:r>
        <w:t>Fouts</w:t>
      </w:r>
      <w:proofErr w:type="spellEnd"/>
      <w:r>
        <w:t xml:space="preserve"> MPH, RCHC Data Analyst</w:t>
      </w:r>
    </w:p>
    <w:p w14:paraId="360920B7" w14:textId="77777777" w:rsidR="00F23A87" w:rsidRDefault="00F23A87" w:rsidP="00F23A87">
      <w:pPr>
        <w:spacing w:after="0"/>
      </w:pPr>
    </w:p>
    <w:p w14:paraId="1738DE9B" w14:textId="77777777" w:rsidR="00F23A87" w:rsidRDefault="00F23A87" w:rsidP="00F23A87">
      <w:pPr>
        <w:spacing w:after="0"/>
      </w:pPr>
    </w:p>
    <w:p w14:paraId="7BC096C7" w14:textId="2D4F1546" w:rsidR="00F23A87" w:rsidRDefault="00F23A87" w:rsidP="00F23A87">
      <w:pPr>
        <w:spacing w:after="0"/>
      </w:pPr>
    </w:p>
    <w:p w14:paraId="06CCE681" w14:textId="77777777" w:rsidR="00851503" w:rsidRDefault="00851503" w:rsidP="00851503">
      <w:pPr>
        <w:pStyle w:val="ListParagraph"/>
        <w:numPr>
          <w:ilvl w:val="0"/>
          <w:numId w:val="1"/>
        </w:numPr>
        <w:spacing w:after="0"/>
      </w:pPr>
      <w:r>
        <w:rPr>
          <w:b/>
        </w:rPr>
        <w:t>Exclusion Definition vs Exception Definition</w:t>
      </w:r>
    </w:p>
    <w:p w14:paraId="7DB3A3F9" w14:textId="77777777" w:rsidR="00851503" w:rsidRDefault="00851503" w:rsidP="00851503">
      <w:pPr>
        <w:spacing w:after="0"/>
      </w:pPr>
    </w:p>
    <w:p w14:paraId="6FA681BD" w14:textId="5F1AF9DD" w:rsidR="00851503" w:rsidRDefault="00851503" w:rsidP="00851503">
      <w:pPr>
        <w:spacing w:after="0"/>
      </w:pPr>
      <w:r w:rsidRPr="00F34BF2">
        <w:rPr>
          <w:u w:val="single"/>
        </w:rPr>
        <w:t>Report</w:t>
      </w:r>
      <w:r>
        <w:t xml:space="preserve">: </w:t>
      </w:r>
      <w:r w:rsidR="00D274D0">
        <w:t>All reports that have</w:t>
      </w:r>
      <w:r w:rsidR="00C27BA7">
        <w:t xml:space="preserve"> exceptions defined in the </w:t>
      </w:r>
      <w:proofErr w:type="spellStart"/>
      <w:r w:rsidR="00C27BA7">
        <w:t>eCQM</w:t>
      </w:r>
      <w:proofErr w:type="spellEnd"/>
    </w:p>
    <w:p w14:paraId="61CC1A48" w14:textId="77777777" w:rsidR="00851503" w:rsidRDefault="00851503" w:rsidP="00851503">
      <w:pPr>
        <w:spacing w:after="0"/>
      </w:pPr>
    </w:p>
    <w:p w14:paraId="6E192846" w14:textId="54CF3144" w:rsidR="00851503" w:rsidRDefault="00851503" w:rsidP="00851503">
      <w:pPr>
        <w:spacing w:after="0"/>
      </w:pPr>
      <w:r w:rsidRPr="00F41948">
        <w:rPr>
          <w:u w:val="single"/>
        </w:rPr>
        <w:t>Issue</w:t>
      </w:r>
      <w:r>
        <w:t xml:space="preserve">: </w:t>
      </w:r>
      <w:r w:rsidR="000E210E">
        <w:t>The 2018 UDS instructions do not define the difference between denominator “exclusions” and “exceptions”</w:t>
      </w:r>
      <w:r w:rsidR="00C27BA7">
        <w:t xml:space="preserve"> in the sections titled “</w:t>
      </w:r>
      <w:r w:rsidR="00C27BA7" w:rsidRPr="00C27BA7">
        <w:t>Exclusions/Exceptions</w:t>
      </w:r>
      <w:r w:rsidR="00C27BA7">
        <w:t>” under each measure.</w:t>
      </w:r>
      <w:r w:rsidR="000E210E">
        <w:t xml:space="preserve"> </w:t>
      </w:r>
      <w:proofErr w:type="spellStart"/>
      <w:r w:rsidR="000E210E">
        <w:t>The</w:t>
      </w:r>
      <w:proofErr w:type="spellEnd"/>
      <w:r w:rsidR="000E210E">
        <w:t xml:space="preserve"> technical </w:t>
      </w:r>
      <w:proofErr w:type="spellStart"/>
      <w:r w:rsidR="000E210E">
        <w:t>eCQMs</w:t>
      </w:r>
      <w:proofErr w:type="spellEnd"/>
      <w:r w:rsidR="000E210E">
        <w:t xml:space="preserve"> referred to in the UDS instructions distinguish the </w:t>
      </w:r>
      <w:r w:rsidR="000E210E">
        <w:t>exclusions</w:t>
      </w:r>
      <w:r w:rsidR="000E210E">
        <w:t xml:space="preserve"> from the </w:t>
      </w:r>
      <w:r w:rsidR="000E210E">
        <w:t>exceptions</w:t>
      </w:r>
      <w:r w:rsidR="000E210E">
        <w:t>. Should our electronic reports also recognize this difference?</w:t>
      </w:r>
    </w:p>
    <w:p w14:paraId="562B09C1" w14:textId="77777777" w:rsidR="00851503" w:rsidRDefault="00851503" w:rsidP="00851503">
      <w:pPr>
        <w:spacing w:after="0"/>
      </w:pPr>
    </w:p>
    <w:p w14:paraId="4C22028F" w14:textId="57AAA66F" w:rsidR="00851503" w:rsidRDefault="00D274D0" w:rsidP="00851503">
      <w:pPr>
        <w:spacing w:after="0"/>
      </w:pPr>
      <w:r>
        <w:rPr>
          <w:u w:val="single"/>
        </w:rPr>
        <w:t>Definitions</w:t>
      </w:r>
      <w:r w:rsidR="00851503">
        <w:t xml:space="preserve">: </w:t>
      </w:r>
    </w:p>
    <w:p w14:paraId="47C010BA" w14:textId="2E4E8537" w:rsidR="000E210E" w:rsidRDefault="000E210E" w:rsidP="00851503">
      <w:pPr>
        <w:spacing w:after="0"/>
      </w:pPr>
    </w:p>
    <w:p w14:paraId="15595A10" w14:textId="621D475E" w:rsidR="000E210E" w:rsidRDefault="000E210E" w:rsidP="000E210E">
      <w:pPr>
        <w:pStyle w:val="ListParagraph"/>
        <w:numPr>
          <w:ilvl w:val="0"/>
          <w:numId w:val="5"/>
        </w:numPr>
        <w:spacing w:after="0"/>
      </w:pPr>
      <w:r w:rsidRPr="000E210E">
        <w:rPr>
          <w:b/>
        </w:rPr>
        <w:t>Denominator Exclusion.</w:t>
      </w:r>
      <w:r w:rsidRPr="000E210E">
        <w:t xml:space="preserve"> Is a subset of the </w:t>
      </w:r>
      <w:proofErr w:type="gramStart"/>
      <w:r w:rsidRPr="000E210E">
        <w:t>denominator.</w:t>
      </w:r>
      <w:proofErr w:type="gramEnd"/>
      <w:r w:rsidRPr="000E210E">
        <w:t xml:space="preserve"> Exclusion specifications remove patients/events from the denominator who meet specific criteria that make it clinically unnecessary for the patient to receive the numerator clinical action.</w:t>
      </w:r>
    </w:p>
    <w:p w14:paraId="051F6C5E" w14:textId="42BB5042" w:rsidR="00D274D0" w:rsidRDefault="000E210E" w:rsidP="00851503">
      <w:pPr>
        <w:pStyle w:val="ListParagraph"/>
        <w:numPr>
          <w:ilvl w:val="0"/>
          <w:numId w:val="5"/>
        </w:numPr>
        <w:spacing w:after="0"/>
      </w:pPr>
      <w:r w:rsidRPr="000E210E">
        <w:rPr>
          <w:b/>
        </w:rPr>
        <w:t>Denominator Exception.</w:t>
      </w:r>
      <w:r w:rsidRPr="000E210E">
        <w:t xml:space="preserve"> Is a subset of the </w:t>
      </w:r>
      <w:proofErr w:type="gramStart"/>
      <w:r w:rsidRPr="000E210E">
        <w:t>denominator.</w:t>
      </w:r>
      <w:proofErr w:type="gramEnd"/>
      <w:r w:rsidRPr="000E210E">
        <w:t xml:space="preserve"> Exception specifications remove patients/events from the denominator only if the numerator criteria are not met. Exceptions are generally provider or patient determined reasons for refusing certain clinical actions.</w:t>
      </w:r>
    </w:p>
    <w:p w14:paraId="3A097DB4" w14:textId="77777777" w:rsidR="00D274D0" w:rsidRDefault="00D274D0" w:rsidP="00851503">
      <w:pPr>
        <w:spacing w:after="0"/>
      </w:pPr>
    </w:p>
    <w:p w14:paraId="6FE2F6B2" w14:textId="77777777" w:rsidR="00851503" w:rsidRDefault="00851503" w:rsidP="00851503">
      <w:pPr>
        <w:spacing w:after="0"/>
      </w:pPr>
      <w:r w:rsidRPr="00C512FD">
        <w:rPr>
          <w:u w:val="single"/>
        </w:rPr>
        <w:t>Additional Information</w:t>
      </w:r>
      <w:r>
        <w:t xml:space="preserve">: </w:t>
      </w:r>
    </w:p>
    <w:p w14:paraId="711EFBA7" w14:textId="46CE949E" w:rsidR="00851503" w:rsidRDefault="00851503" w:rsidP="00851503">
      <w:pPr>
        <w:spacing w:after="0"/>
      </w:pPr>
    </w:p>
    <w:p w14:paraId="7E28508E" w14:textId="3E3D5720" w:rsidR="00D274D0" w:rsidRDefault="00286A34" w:rsidP="00851503">
      <w:pPr>
        <w:spacing w:after="0"/>
      </w:pPr>
      <w:r>
        <w:t>Measures</w:t>
      </w:r>
      <w:r w:rsidR="00D274D0">
        <w:t xml:space="preserve"> that have </w:t>
      </w:r>
      <w:r>
        <w:t>at least one</w:t>
      </w:r>
      <w:r w:rsidR="00D274D0">
        <w:t xml:space="preserve"> e</w:t>
      </w:r>
      <w:r w:rsidR="00D274D0" w:rsidRPr="00D274D0">
        <w:t>xception</w:t>
      </w:r>
      <w:r w:rsidR="00C27BA7">
        <w:t xml:space="preserve"> are listed in the table below. For all other measures, the description under the heading “</w:t>
      </w:r>
      <w:r w:rsidR="00C27BA7" w:rsidRPr="00C27BA7">
        <w:t>Exclusions/Exceptions</w:t>
      </w:r>
      <w:r w:rsidR="00C27BA7">
        <w:t>” in the UDS instructions is an exclusion.</w:t>
      </w:r>
    </w:p>
    <w:p w14:paraId="380EC5BE" w14:textId="77777777" w:rsidR="00D274D0" w:rsidRDefault="00D274D0" w:rsidP="00851503">
      <w:pPr>
        <w:spacing w:after="0"/>
      </w:pPr>
    </w:p>
    <w:tbl>
      <w:tblPr>
        <w:tblStyle w:val="TableGrid"/>
        <w:tblW w:w="0" w:type="auto"/>
        <w:tblLook w:val="04A0" w:firstRow="1" w:lastRow="0" w:firstColumn="1" w:lastColumn="0" w:noHBand="0" w:noVBand="1"/>
      </w:tblPr>
      <w:tblGrid>
        <w:gridCol w:w="3116"/>
        <w:gridCol w:w="3117"/>
        <w:gridCol w:w="3117"/>
      </w:tblGrid>
      <w:tr w:rsidR="00D274D0" w:rsidRPr="00D274D0" w14:paraId="13BE9790" w14:textId="77777777" w:rsidTr="00286A34">
        <w:trPr>
          <w:tblHeader/>
        </w:trPr>
        <w:tc>
          <w:tcPr>
            <w:tcW w:w="3116" w:type="dxa"/>
            <w:shd w:val="clear" w:color="auto" w:fill="F7CAAC" w:themeFill="accent2" w:themeFillTint="66"/>
          </w:tcPr>
          <w:p w14:paraId="191AF769" w14:textId="11271D56" w:rsidR="00D274D0" w:rsidRPr="00D274D0" w:rsidRDefault="00D274D0" w:rsidP="00851503">
            <w:pPr>
              <w:rPr>
                <w:b/>
                <w:sz w:val="20"/>
                <w:szCs w:val="20"/>
              </w:rPr>
            </w:pPr>
            <w:r w:rsidRPr="00D274D0">
              <w:rPr>
                <w:b/>
                <w:sz w:val="20"/>
                <w:szCs w:val="20"/>
              </w:rPr>
              <w:t>UDS Measure</w:t>
            </w:r>
          </w:p>
        </w:tc>
        <w:tc>
          <w:tcPr>
            <w:tcW w:w="3117" w:type="dxa"/>
            <w:shd w:val="clear" w:color="auto" w:fill="F7CAAC" w:themeFill="accent2" w:themeFillTint="66"/>
          </w:tcPr>
          <w:p w14:paraId="3A923243" w14:textId="5F87D361" w:rsidR="00D274D0" w:rsidRPr="00D274D0" w:rsidRDefault="00D274D0" w:rsidP="00851503">
            <w:pPr>
              <w:rPr>
                <w:b/>
                <w:sz w:val="20"/>
                <w:szCs w:val="20"/>
              </w:rPr>
            </w:pPr>
            <w:r w:rsidRPr="00D274D0">
              <w:rPr>
                <w:b/>
                <w:sz w:val="20"/>
                <w:szCs w:val="20"/>
              </w:rPr>
              <w:t>Exclusions</w:t>
            </w:r>
          </w:p>
        </w:tc>
        <w:tc>
          <w:tcPr>
            <w:tcW w:w="3117" w:type="dxa"/>
            <w:shd w:val="clear" w:color="auto" w:fill="F7CAAC" w:themeFill="accent2" w:themeFillTint="66"/>
          </w:tcPr>
          <w:p w14:paraId="159F1A3F" w14:textId="3D16A071" w:rsidR="00D274D0" w:rsidRPr="00D274D0" w:rsidRDefault="00D274D0" w:rsidP="00851503">
            <w:pPr>
              <w:rPr>
                <w:b/>
                <w:sz w:val="20"/>
                <w:szCs w:val="20"/>
              </w:rPr>
            </w:pPr>
            <w:r w:rsidRPr="00D274D0">
              <w:rPr>
                <w:b/>
                <w:sz w:val="20"/>
                <w:szCs w:val="20"/>
              </w:rPr>
              <w:t>Exceptions</w:t>
            </w:r>
          </w:p>
        </w:tc>
      </w:tr>
      <w:tr w:rsidR="00D274D0" w:rsidRPr="00D274D0" w14:paraId="0999F188" w14:textId="77777777" w:rsidTr="00D274D0">
        <w:tc>
          <w:tcPr>
            <w:tcW w:w="3116" w:type="dxa"/>
          </w:tcPr>
          <w:p w14:paraId="11C93D64" w14:textId="38838F95" w:rsidR="00D274D0" w:rsidRPr="00D274D0" w:rsidRDefault="00D274D0" w:rsidP="00851503">
            <w:pPr>
              <w:rPr>
                <w:sz w:val="20"/>
                <w:szCs w:val="20"/>
              </w:rPr>
            </w:pPr>
            <w:r w:rsidRPr="00D274D0">
              <w:rPr>
                <w:sz w:val="20"/>
                <w:szCs w:val="20"/>
              </w:rPr>
              <w:t>Screening for Depression and Follow-Up Plan</w:t>
            </w:r>
          </w:p>
        </w:tc>
        <w:tc>
          <w:tcPr>
            <w:tcW w:w="3117" w:type="dxa"/>
          </w:tcPr>
          <w:p w14:paraId="7044E324" w14:textId="428563E8" w:rsidR="00D274D0" w:rsidRPr="00D274D0" w:rsidRDefault="00D274D0" w:rsidP="00D274D0">
            <w:pPr>
              <w:rPr>
                <w:sz w:val="20"/>
                <w:szCs w:val="20"/>
              </w:rPr>
            </w:pPr>
            <w:r w:rsidRPr="00D274D0">
              <w:rPr>
                <w:sz w:val="20"/>
                <w:szCs w:val="20"/>
              </w:rPr>
              <w:t>Patients with an active diagnosis for depression or a diagnosis of bipolar disorder</w:t>
            </w:r>
          </w:p>
        </w:tc>
        <w:tc>
          <w:tcPr>
            <w:tcW w:w="3117" w:type="dxa"/>
          </w:tcPr>
          <w:p w14:paraId="0066C766" w14:textId="77777777" w:rsidR="00D274D0" w:rsidRPr="00D274D0" w:rsidRDefault="00D274D0" w:rsidP="00D274D0">
            <w:pPr>
              <w:pStyle w:val="ListParagraph"/>
              <w:numPr>
                <w:ilvl w:val="0"/>
                <w:numId w:val="7"/>
              </w:numPr>
              <w:ind w:left="136" w:hanging="180"/>
              <w:rPr>
                <w:sz w:val="20"/>
                <w:szCs w:val="20"/>
              </w:rPr>
            </w:pPr>
            <w:r w:rsidRPr="00D274D0">
              <w:rPr>
                <w:sz w:val="20"/>
                <w:szCs w:val="20"/>
              </w:rPr>
              <w:t xml:space="preserve">Patient refuses to participate </w:t>
            </w:r>
          </w:p>
          <w:p w14:paraId="1EDA1890" w14:textId="45265554" w:rsidR="00D274D0" w:rsidRPr="00D274D0" w:rsidRDefault="00C27BA7" w:rsidP="00D274D0">
            <w:pPr>
              <w:pStyle w:val="ListParagraph"/>
              <w:numPr>
                <w:ilvl w:val="0"/>
                <w:numId w:val="7"/>
              </w:numPr>
              <w:ind w:left="136" w:hanging="180"/>
              <w:rPr>
                <w:sz w:val="20"/>
                <w:szCs w:val="20"/>
              </w:rPr>
            </w:pPr>
            <w:r w:rsidRPr="00286A34">
              <w:rPr>
                <w:sz w:val="20"/>
                <w:szCs w:val="20"/>
              </w:rPr>
              <w:t>Patients with a documented medical reason</w:t>
            </w:r>
            <w:r w:rsidR="00D274D0" w:rsidRPr="00D274D0">
              <w:rPr>
                <w:sz w:val="20"/>
                <w:szCs w:val="20"/>
              </w:rPr>
              <w:t xml:space="preserve"> </w:t>
            </w:r>
            <w:r w:rsidR="00D274D0" w:rsidRPr="00D274D0">
              <w:rPr>
                <w:sz w:val="20"/>
                <w:szCs w:val="20"/>
              </w:rPr>
              <w:t>(</w:t>
            </w:r>
            <w:r w:rsidR="00D274D0" w:rsidRPr="00D274D0">
              <w:rPr>
                <w:sz w:val="20"/>
                <w:szCs w:val="20"/>
              </w:rPr>
              <w:t>such as an</w:t>
            </w:r>
            <w:r w:rsidR="00D274D0">
              <w:rPr>
                <w:sz w:val="20"/>
                <w:szCs w:val="20"/>
              </w:rPr>
              <w:t xml:space="preserve"> </w:t>
            </w:r>
            <w:r w:rsidR="00D274D0" w:rsidRPr="00D274D0">
              <w:rPr>
                <w:sz w:val="20"/>
                <w:szCs w:val="20"/>
              </w:rPr>
              <w:t>urgent or emergent situation</w:t>
            </w:r>
            <w:r w:rsidR="00D274D0" w:rsidRPr="00D274D0">
              <w:rPr>
                <w:sz w:val="20"/>
                <w:szCs w:val="20"/>
              </w:rPr>
              <w:t>)</w:t>
            </w:r>
            <w:r w:rsidR="00D274D0" w:rsidRPr="00D274D0">
              <w:rPr>
                <w:sz w:val="20"/>
                <w:szCs w:val="20"/>
              </w:rPr>
              <w:t xml:space="preserve"> </w:t>
            </w:r>
          </w:p>
          <w:p w14:paraId="1DCAD6AA" w14:textId="7127CC6B" w:rsidR="00D274D0" w:rsidRPr="00D274D0" w:rsidRDefault="00D274D0" w:rsidP="00D274D0">
            <w:pPr>
              <w:pStyle w:val="ListParagraph"/>
              <w:numPr>
                <w:ilvl w:val="0"/>
                <w:numId w:val="7"/>
              </w:numPr>
              <w:ind w:left="136" w:hanging="180"/>
              <w:rPr>
                <w:sz w:val="20"/>
                <w:szCs w:val="20"/>
              </w:rPr>
            </w:pPr>
            <w:r w:rsidRPr="00D274D0">
              <w:rPr>
                <w:sz w:val="20"/>
                <w:szCs w:val="20"/>
              </w:rPr>
              <w:t>Situations where the patient's functional capacity or motivation to improve may impact the accuracy of results of standardized depression assessment tools.</w:t>
            </w:r>
          </w:p>
        </w:tc>
      </w:tr>
      <w:tr w:rsidR="00D274D0" w:rsidRPr="00D274D0" w14:paraId="36EC098D" w14:textId="77777777" w:rsidTr="00D274D0">
        <w:tc>
          <w:tcPr>
            <w:tcW w:w="3116" w:type="dxa"/>
          </w:tcPr>
          <w:p w14:paraId="71D3A39A" w14:textId="68CA7DC4" w:rsidR="00D274D0" w:rsidRPr="00D274D0" w:rsidRDefault="00D274D0" w:rsidP="00851503">
            <w:pPr>
              <w:rPr>
                <w:sz w:val="20"/>
                <w:szCs w:val="20"/>
              </w:rPr>
            </w:pPr>
            <w:r w:rsidRPr="00D274D0">
              <w:rPr>
                <w:sz w:val="20"/>
                <w:szCs w:val="20"/>
              </w:rPr>
              <w:t>Body Mass Index (BMI) Screening and Follow-Up Plan</w:t>
            </w:r>
          </w:p>
        </w:tc>
        <w:tc>
          <w:tcPr>
            <w:tcW w:w="3117" w:type="dxa"/>
          </w:tcPr>
          <w:p w14:paraId="333A65E6" w14:textId="77777777" w:rsidR="00D274D0" w:rsidRPr="00D274D0" w:rsidRDefault="00D274D0" w:rsidP="00D274D0">
            <w:pPr>
              <w:pStyle w:val="ListParagraph"/>
              <w:numPr>
                <w:ilvl w:val="0"/>
                <w:numId w:val="7"/>
              </w:numPr>
              <w:ind w:left="136" w:hanging="180"/>
              <w:rPr>
                <w:sz w:val="20"/>
                <w:szCs w:val="20"/>
              </w:rPr>
            </w:pPr>
            <w:r w:rsidRPr="00D274D0">
              <w:rPr>
                <w:sz w:val="20"/>
                <w:szCs w:val="20"/>
              </w:rPr>
              <w:t xml:space="preserve">Patients who are pregnant </w:t>
            </w:r>
          </w:p>
          <w:p w14:paraId="6263FB6C" w14:textId="77777777" w:rsidR="00D274D0" w:rsidRPr="00D274D0" w:rsidRDefault="00D274D0" w:rsidP="00D274D0">
            <w:pPr>
              <w:pStyle w:val="ListParagraph"/>
              <w:numPr>
                <w:ilvl w:val="0"/>
                <w:numId w:val="7"/>
              </w:numPr>
              <w:ind w:left="136" w:hanging="180"/>
              <w:rPr>
                <w:sz w:val="20"/>
                <w:szCs w:val="20"/>
              </w:rPr>
            </w:pPr>
            <w:r w:rsidRPr="00D274D0">
              <w:rPr>
                <w:sz w:val="20"/>
                <w:szCs w:val="20"/>
              </w:rPr>
              <w:t>Patients receiving palliative care</w:t>
            </w:r>
          </w:p>
          <w:p w14:paraId="5F3849CC" w14:textId="30B15A64" w:rsidR="00D274D0" w:rsidRPr="00D274D0" w:rsidRDefault="00D274D0" w:rsidP="00D274D0">
            <w:pPr>
              <w:pStyle w:val="ListParagraph"/>
              <w:numPr>
                <w:ilvl w:val="0"/>
                <w:numId w:val="7"/>
              </w:numPr>
              <w:ind w:left="136" w:hanging="180"/>
              <w:rPr>
                <w:sz w:val="20"/>
                <w:szCs w:val="20"/>
              </w:rPr>
            </w:pPr>
            <w:r w:rsidRPr="00D274D0">
              <w:rPr>
                <w:sz w:val="20"/>
                <w:szCs w:val="20"/>
              </w:rPr>
              <w:t>Patients who refuse measurement of height and/or weight or refuse follow-up</w:t>
            </w:r>
          </w:p>
        </w:tc>
        <w:tc>
          <w:tcPr>
            <w:tcW w:w="3117" w:type="dxa"/>
          </w:tcPr>
          <w:p w14:paraId="2820601C" w14:textId="31481FE5" w:rsidR="00D274D0" w:rsidRPr="00286A34" w:rsidRDefault="00D274D0" w:rsidP="00286A34">
            <w:pPr>
              <w:ind w:left="-44"/>
              <w:rPr>
                <w:sz w:val="20"/>
                <w:szCs w:val="20"/>
              </w:rPr>
            </w:pPr>
            <w:r w:rsidRPr="00286A34">
              <w:rPr>
                <w:sz w:val="20"/>
                <w:szCs w:val="20"/>
              </w:rPr>
              <w:t xml:space="preserve">Patients with a documented </w:t>
            </w:r>
            <w:r w:rsidRPr="00286A34">
              <w:rPr>
                <w:sz w:val="20"/>
                <w:szCs w:val="20"/>
              </w:rPr>
              <w:t>m</w:t>
            </w:r>
            <w:r w:rsidRPr="00286A34">
              <w:rPr>
                <w:sz w:val="20"/>
                <w:szCs w:val="20"/>
              </w:rPr>
              <w:t xml:space="preserve">edical </w:t>
            </w:r>
            <w:r w:rsidRPr="00286A34">
              <w:rPr>
                <w:sz w:val="20"/>
                <w:szCs w:val="20"/>
              </w:rPr>
              <w:t>r</w:t>
            </w:r>
            <w:r w:rsidRPr="00286A34">
              <w:rPr>
                <w:sz w:val="20"/>
                <w:szCs w:val="20"/>
              </w:rPr>
              <w:t>eason</w:t>
            </w:r>
            <w:r w:rsidRPr="00286A34">
              <w:rPr>
                <w:sz w:val="20"/>
                <w:szCs w:val="20"/>
              </w:rPr>
              <w:t>, such as</w:t>
            </w:r>
            <w:r w:rsidRPr="00286A34">
              <w:rPr>
                <w:sz w:val="20"/>
                <w:szCs w:val="20"/>
              </w:rPr>
              <w:t>:</w:t>
            </w:r>
          </w:p>
          <w:p w14:paraId="0DD597E7" w14:textId="77777777" w:rsidR="00D274D0" w:rsidRDefault="00D274D0" w:rsidP="00D274D0">
            <w:pPr>
              <w:pStyle w:val="ListParagraph"/>
              <w:numPr>
                <w:ilvl w:val="0"/>
                <w:numId w:val="7"/>
              </w:numPr>
              <w:ind w:left="136" w:hanging="180"/>
              <w:rPr>
                <w:sz w:val="20"/>
                <w:szCs w:val="20"/>
              </w:rPr>
            </w:pPr>
            <w:r>
              <w:rPr>
                <w:sz w:val="20"/>
                <w:szCs w:val="20"/>
              </w:rPr>
              <w:t>A</w:t>
            </w:r>
            <w:r w:rsidRPr="00D274D0">
              <w:rPr>
                <w:sz w:val="20"/>
                <w:szCs w:val="20"/>
              </w:rPr>
              <w:t>n</w:t>
            </w:r>
            <w:r>
              <w:rPr>
                <w:sz w:val="20"/>
                <w:szCs w:val="20"/>
              </w:rPr>
              <w:t xml:space="preserve"> </w:t>
            </w:r>
            <w:r w:rsidRPr="00D274D0">
              <w:rPr>
                <w:sz w:val="20"/>
                <w:szCs w:val="20"/>
              </w:rPr>
              <w:t>urgent or emergent situation</w:t>
            </w:r>
          </w:p>
          <w:p w14:paraId="7D13CF29" w14:textId="32875BB2" w:rsidR="00D274D0" w:rsidRPr="00D274D0" w:rsidRDefault="00D274D0" w:rsidP="00D274D0">
            <w:pPr>
              <w:pStyle w:val="ListParagraph"/>
              <w:numPr>
                <w:ilvl w:val="0"/>
                <w:numId w:val="7"/>
              </w:numPr>
              <w:ind w:left="136" w:hanging="180"/>
              <w:rPr>
                <w:sz w:val="20"/>
                <w:szCs w:val="20"/>
              </w:rPr>
            </w:pPr>
            <w:r w:rsidRPr="00D274D0">
              <w:rPr>
                <w:sz w:val="20"/>
                <w:szCs w:val="20"/>
              </w:rPr>
              <w:t xml:space="preserve">Elderly Patients (65 or older) for whom weight reduction/weight gain would complicate other </w:t>
            </w:r>
            <w:r w:rsidRPr="00D274D0">
              <w:rPr>
                <w:sz w:val="20"/>
                <w:szCs w:val="20"/>
              </w:rPr>
              <w:lastRenderedPageBreak/>
              <w:t xml:space="preserve">underlying health conditions such as the following examples: </w:t>
            </w:r>
          </w:p>
          <w:p w14:paraId="7BFF528C" w14:textId="33DCDA85" w:rsidR="00D274D0" w:rsidRPr="00D274D0" w:rsidRDefault="00D274D0" w:rsidP="00D274D0">
            <w:pPr>
              <w:pStyle w:val="ListParagraph"/>
              <w:numPr>
                <w:ilvl w:val="0"/>
                <w:numId w:val="8"/>
              </w:numPr>
              <w:ind w:left="586" w:hanging="226"/>
              <w:rPr>
                <w:sz w:val="20"/>
                <w:szCs w:val="20"/>
              </w:rPr>
            </w:pPr>
            <w:r w:rsidRPr="00D274D0">
              <w:rPr>
                <w:sz w:val="20"/>
                <w:szCs w:val="20"/>
              </w:rPr>
              <w:t>Illness or physical disability</w:t>
            </w:r>
          </w:p>
          <w:p w14:paraId="0D0ED267" w14:textId="58DEBCB0" w:rsidR="00D274D0" w:rsidRPr="00D274D0" w:rsidRDefault="00D274D0" w:rsidP="00D274D0">
            <w:pPr>
              <w:pStyle w:val="ListParagraph"/>
              <w:numPr>
                <w:ilvl w:val="0"/>
                <w:numId w:val="8"/>
              </w:numPr>
              <w:ind w:left="586" w:hanging="226"/>
              <w:rPr>
                <w:sz w:val="20"/>
                <w:szCs w:val="20"/>
              </w:rPr>
            </w:pPr>
            <w:r w:rsidRPr="00D274D0">
              <w:rPr>
                <w:sz w:val="20"/>
                <w:szCs w:val="20"/>
              </w:rPr>
              <w:t>Mental illness, dementia, confusion</w:t>
            </w:r>
          </w:p>
          <w:p w14:paraId="0D7404E2" w14:textId="73F983E7" w:rsidR="00D274D0" w:rsidRPr="00D274D0" w:rsidRDefault="00D274D0" w:rsidP="00D274D0">
            <w:pPr>
              <w:pStyle w:val="ListParagraph"/>
              <w:numPr>
                <w:ilvl w:val="0"/>
                <w:numId w:val="8"/>
              </w:numPr>
              <w:ind w:left="586" w:hanging="226"/>
              <w:rPr>
                <w:sz w:val="20"/>
                <w:szCs w:val="20"/>
              </w:rPr>
            </w:pPr>
            <w:r w:rsidRPr="00D274D0">
              <w:rPr>
                <w:sz w:val="20"/>
                <w:szCs w:val="20"/>
              </w:rPr>
              <w:t>Nutritional deficiency, such as Vitamin/mineral deficiency</w:t>
            </w:r>
          </w:p>
        </w:tc>
      </w:tr>
      <w:tr w:rsidR="00D274D0" w:rsidRPr="00D274D0" w14:paraId="290FFF16" w14:textId="77777777" w:rsidTr="00D274D0">
        <w:tc>
          <w:tcPr>
            <w:tcW w:w="3116" w:type="dxa"/>
          </w:tcPr>
          <w:p w14:paraId="18372996" w14:textId="37AE2357" w:rsidR="00D274D0" w:rsidRPr="00D274D0" w:rsidRDefault="00286A34" w:rsidP="00851503">
            <w:pPr>
              <w:rPr>
                <w:sz w:val="20"/>
                <w:szCs w:val="20"/>
              </w:rPr>
            </w:pPr>
            <w:r w:rsidRPr="00286A34">
              <w:rPr>
                <w:sz w:val="20"/>
                <w:szCs w:val="20"/>
              </w:rPr>
              <w:lastRenderedPageBreak/>
              <w:t>Tobacco Use: Screening and Cessation Intervention</w:t>
            </w:r>
          </w:p>
        </w:tc>
        <w:tc>
          <w:tcPr>
            <w:tcW w:w="3117" w:type="dxa"/>
          </w:tcPr>
          <w:p w14:paraId="17431E49" w14:textId="50ED806A" w:rsidR="00D274D0" w:rsidRPr="00D274D0" w:rsidRDefault="00286A34" w:rsidP="00851503">
            <w:pPr>
              <w:rPr>
                <w:sz w:val="20"/>
                <w:szCs w:val="20"/>
              </w:rPr>
            </w:pPr>
            <w:r>
              <w:rPr>
                <w:sz w:val="20"/>
                <w:szCs w:val="20"/>
              </w:rPr>
              <w:t>None</w:t>
            </w:r>
          </w:p>
        </w:tc>
        <w:tc>
          <w:tcPr>
            <w:tcW w:w="3117" w:type="dxa"/>
          </w:tcPr>
          <w:p w14:paraId="04ED923E" w14:textId="3C414DE8" w:rsidR="00D274D0" w:rsidRPr="00D274D0" w:rsidRDefault="00286A34" w:rsidP="00C27BA7">
            <w:pPr>
              <w:ind w:left="-44"/>
              <w:rPr>
                <w:sz w:val="20"/>
                <w:szCs w:val="20"/>
              </w:rPr>
            </w:pPr>
            <w:r w:rsidRPr="00286A34">
              <w:rPr>
                <w:sz w:val="20"/>
                <w:szCs w:val="20"/>
              </w:rPr>
              <w:t>Patients with a documented medical reason</w:t>
            </w:r>
            <w:r>
              <w:rPr>
                <w:sz w:val="20"/>
                <w:szCs w:val="20"/>
              </w:rPr>
              <w:t xml:space="preserve"> for</w:t>
            </w:r>
            <w:r w:rsidRPr="00286A34">
              <w:rPr>
                <w:sz w:val="20"/>
                <w:szCs w:val="20"/>
              </w:rPr>
              <w:t xml:space="preserve"> </w:t>
            </w:r>
            <w:r w:rsidRPr="00286A34">
              <w:rPr>
                <w:sz w:val="20"/>
                <w:szCs w:val="20"/>
              </w:rPr>
              <w:t xml:space="preserve">not screening for tobacco use </w:t>
            </w:r>
            <w:r>
              <w:rPr>
                <w:sz w:val="20"/>
                <w:szCs w:val="20"/>
              </w:rPr>
              <w:t>or</w:t>
            </w:r>
            <w:r w:rsidRPr="00286A34">
              <w:rPr>
                <w:sz w:val="20"/>
                <w:szCs w:val="20"/>
              </w:rPr>
              <w:t xml:space="preserve"> for not providing tobacco cessation intervention for patients identified as tobacco users </w:t>
            </w:r>
            <w:r w:rsidR="00C27BA7" w:rsidRPr="00286A34">
              <w:rPr>
                <w:sz w:val="20"/>
                <w:szCs w:val="20"/>
              </w:rPr>
              <w:t>(e</w:t>
            </w:r>
            <w:r w:rsidR="00C27BA7">
              <w:rPr>
                <w:sz w:val="20"/>
                <w:szCs w:val="20"/>
              </w:rPr>
              <w:t>.</w:t>
            </w:r>
            <w:r w:rsidR="00C27BA7" w:rsidRPr="00286A34">
              <w:rPr>
                <w:sz w:val="20"/>
                <w:szCs w:val="20"/>
              </w:rPr>
              <w:t>g</w:t>
            </w:r>
            <w:r w:rsidR="00C27BA7">
              <w:rPr>
                <w:sz w:val="20"/>
                <w:szCs w:val="20"/>
              </w:rPr>
              <w:t>.</w:t>
            </w:r>
            <w:r w:rsidR="00C27BA7" w:rsidRPr="00286A34">
              <w:rPr>
                <w:sz w:val="20"/>
                <w:szCs w:val="20"/>
              </w:rPr>
              <w:t>, limited life expectancy, other medical reason)</w:t>
            </w:r>
          </w:p>
        </w:tc>
      </w:tr>
    </w:tbl>
    <w:p w14:paraId="2FD2B14B" w14:textId="40E84477" w:rsidR="00D274D0" w:rsidRDefault="00D274D0" w:rsidP="00851503">
      <w:pPr>
        <w:spacing w:after="0"/>
      </w:pPr>
    </w:p>
    <w:p w14:paraId="3F3E2A76" w14:textId="77777777" w:rsidR="00D274D0" w:rsidRDefault="00D274D0" w:rsidP="00851503">
      <w:pPr>
        <w:spacing w:after="0"/>
      </w:pPr>
    </w:p>
    <w:p w14:paraId="4CA93293" w14:textId="549A0743" w:rsidR="00851503" w:rsidRDefault="00851503" w:rsidP="00851503">
      <w:pPr>
        <w:spacing w:after="0"/>
      </w:pPr>
    </w:p>
    <w:p w14:paraId="37C6CD52" w14:textId="77777777" w:rsidR="00851503" w:rsidRDefault="00851503" w:rsidP="00851503">
      <w:pPr>
        <w:pStyle w:val="ListParagraph"/>
        <w:numPr>
          <w:ilvl w:val="0"/>
          <w:numId w:val="1"/>
        </w:numPr>
        <w:spacing w:after="0"/>
      </w:pPr>
      <w:r>
        <w:rPr>
          <w:b/>
        </w:rPr>
        <w:t xml:space="preserve">Patients Declining Depression Screens or </w:t>
      </w:r>
      <w:proofErr w:type="spellStart"/>
      <w:r>
        <w:rPr>
          <w:b/>
        </w:rPr>
        <w:t>Followup</w:t>
      </w:r>
      <w:proofErr w:type="spellEnd"/>
    </w:p>
    <w:p w14:paraId="60BF9043" w14:textId="77777777" w:rsidR="00851503" w:rsidRDefault="00851503" w:rsidP="00851503">
      <w:pPr>
        <w:spacing w:after="0"/>
      </w:pPr>
    </w:p>
    <w:p w14:paraId="300E5380" w14:textId="284AAB18" w:rsidR="00851503" w:rsidRDefault="00851503" w:rsidP="00851503">
      <w:pPr>
        <w:spacing w:after="0"/>
      </w:pPr>
      <w:r w:rsidRPr="00F34BF2">
        <w:rPr>
          <w:u w:val="single"/>
        </w:rPr>
        <w:t>Report</w:t>
      </w:r>
      <w:r>
        <w:t xml:space="preserve">: </w:t>
      </w:r>
      <w:r w:rsidR="00D274D0" w:rsidRPr="00D274D0">
        <w:t>Screening for Depression and Follow-Up Plan</w:t>
      </w:r>
    </w:p>
    <w:p w14:paraId="30A62453" w14:textId="77777777" w:rsidR="00851503" w:rsidRDefault="00851503" w:rsidP="00851503">
      <w:pPr>
        <w:spacing w:after="0"/>
      </w:pPr>
    </w:p>
    <w:p w14:paraId="70CC6149" w14:textId="1E200E35" w:rsidR="00851503" w:rsidRDefault="00851503" w:rsidP="00851503">
      <w:pPr>
        <w:spacing w:after="0"/>
      </w:pPr>
      <w:r>
        <w:rPr>
          <w:u w:val="single"/>
        </w:rPr>
        <w:t>Issue</w:t>
      </w:r>
      <w:r>
        <w:t>: The 2018 UDS instructions allow</w:t>
      </w:r>
      <w:r w:rsidR="00C27BA7">
        <w:t xml:space="preserve"> a</w:t>
      </w:r>
      <w:r>
        <w:t xml:space="preserve"> denominator </w:t>
      </w:r>
      <w:r w:rsidR="00C27BA7">
        <w:t>e</w:t>
      </w:r>
      <w:r w:rsidR="00C27BA7" w:rsidRPr="00C27BA7">
        <w:t xml:space="preserve">xception </w:t>
      </w:r>
      <w:r>
        <w:t>for patients who “</w:t>
      </w:r>
      <w:r w:rsidRPr="001F439B">
        <w:t>refuse to participate</w:t>
      </w:r>
      <w:r>
        <w:t xml:space="preserve">” (page 95). Can we agree that health centers can document patients who decline to be screened for depression or decline any kind of follow-up activity and that this would count as an </w:t>
      </w:r>
      <w:r w:rsidR="00C27BA7">
        <w:t>e</w:t>
      </w:r>
      <w:r w:rsidR="00C27BA7" w:rsidRPr="00C27BA7">
        <w:t xml:space="preserve">xception </w:t>
      </w:r>
      <w:r>
        <w:t>to the denominator?</w:t>
      </w:r>
    </w:p>
    <w:p w14:paraId="6BBD2541" w14:textId="77777777" w:rsidR="00851503" w:rsidRDefault="00851503" w:rsidP="00851503">
      <w:pPr>
        <w:spacing w:after="0"/>
      </w:pPr>
    </w:p>
    <w:p w14:paraId="524B12A4" w14:textId="4ECDC19F" w:rsidR="00851503" w:rsidRDefault="00851503" w:rsidP="00851503">
      <w:pPr>
        <w:spacing w:after="0"/>
      </w:pPr>
      <w:r w:rsidRPr="003432F7">
        <w:rPr>
          <w:u w:val="single"/>
        </w:rPr>
        <w:t>Description</w:t>
      </w:r>
      <w:r>
        <w:t xml:space="preserve">: </w:t>
      </w:r>
      <w:proofErr w:type="spellStart"/>
      <w:r>
        <w:t>eCW</w:t>
      </w:r>
      <w:proofErr w:type="spellEnd"/>
      <w:r>
        <w:t xml:space="preserve"> Version 11 contains changes to the depression screening and </w:t>
      </w:r>
      <w:proofErr w:type="spellStart"/>
      <w:r>
        <w:t>followup</w:t>
      </w:r>
      <w:proofErr w:type="spellEnd"/>
      <w:r>
        <w:t xml:space="preserve"> templates. One change is that they are allowing the use</w:t>
      </w:r>
      <w:r w:rsidR="00C27BA7">
        <w:t>r</w:t>
      </w:r>
      <w:r>
        <w:t xml:space="preserve"> to enter that a patient declines screening. Because not all health centers have version 11 yet (and Ben has not tested it), we do not have all the details. Some health centers have also built this option into structured data. In any case, this should be something built into the measure for whatever health record or reporting system you use.</w:t>
      </w:r>
    </w:p>
    <w:p w14:paraId="34157F70" w14:textId="77777777" w:rsidR="00851503" w:rsidRDefault="00851503" w:rsidP="00851503">
      <w:pPr>
        <w:spacing w:after="0"/>
      </w:pPr>
    </w:p>
    <w:p w14:paraId="4DEFE264" w14:textId="77777777" w:rsidR="00851503" w:rsidRDefault="00851503" w:rsidP="00F23A87">
      <w:pPr>
        <w:spacing w:after="0"/>
      </w:pPr>
    </w:p>
    <w:p w14:paraId="39AFB9EB" w14:textId="77777777" w:rsidR="00851503" w:rsidRDefault="00851503" w:rsidP="00851503">
      <w:pPr>
        <w:pStyle w:val="ListParagraph"/>
        <w:numPr>
          <w:ilvl w:val="0"/>
          <w:numId w:val="1"/>
        </w:numPr>
        <w:spacing w:after="0"/>
      </w:pPr>
      <w:r>
        <w:rPr>
          <w:b/>
        </w:rPr>
        <w:t xml:space="preserve">The Timing of Positive Depression Screens </w:t>
      </w:r>
    </w:p>
    <w:p w14:paraId="257C3DE5" w14:textId="77777777" w:rsidR="00851503" w:rsidRDefault="00851503" w:rsidP="00851503">
      <w:pPr>
        <w:spacing w:after="0"/>
      </w:pPr>
    </w:p>
    <w:p w14:paraId="2A5F45A5" w14:textId="7FF0DC81" w:rsidR="00851503" w:rsidRDefault="00851503" w:rsidP="00851503">
      <w:pPr>
        <w:spacing w:after="0"/>
      </w:pPr>
      <w:r w:rsidRPr="00F34BF2">
        <w:rPr>
          <w:u w:val="single"/>
        </w:rPr>
        <w:t>Report</w:t>
      </w:r>
      <w:r>
        <w:t xml:space="preserve">: </w:t>
      </w:r>
      <w:r w:rsidR="00D274D0" w:rsidRPr="00D274D0">
        <w:t>Screening for Depression and Follow-Up Plan</w:t>
      </w:r>
    </w:p>
    <w:p w14:paraId="23FFA169" w14:textId="77777777" w:rsidR="00851503" w:rsidRDefault="00851503" w:rsidP="00851503">
      <w:pPr>
        <w:spacing w:after="0"/>
      </w:pPr>
    </w:p>
    <w:p w14:paraId="20E00426" w14:textId="77777777" w:rsidR="00851503" w:rsidRDefault="00851503" w:rsidP="00851503">
      <w:pPr>
        <w:spacing w:after="0"/>
      </w:pPr>
      <w:r>
        <w:rPr>
          <w:u w:val="single"/>
        </w:rPr>
        <w:t>Issue</w:t>
      </w:r>
      <w:r>
        <w:t>: For patients who are screened multiple times during the measurement period, which screenings should be examined by the report?</w:t>
      </w:r>
    </w:p>
    <w:p w14:paraId="4D0BF8D3" w14:textId="77777777" w:rsidR="00851503" w:rsidRDefault="00851503" w:rsidP="00851503">
      <w:pPr>
        <w:spacing w:after="0"/>
      </w:pPr>
    </w:p>
    <w:p w14:paraId="5F559A61" w14:textId="05D8C291" w:rsidR="00851503" w:rsidRDefault="00851503" w:rsidP="00851503">
      <w:pPr>
        <w:spacing w:after="0"/>
      </w:pPr>
      <w:r w:rsidRPr="003432F7">
        <w:rPr>
          <w:u w:val="single"/>
        </w:rPr>
        <w:t>Description</w:t>
      </w:r>
      <w:r>
        <w:t xml:space="preserve">: Patients with several visits can be screened for depression several times, with potentially a mix of results. Below is a hypothetical situation. How </w:t>
      </w:r>
      <w:r w:rsidR="00A05B17">
        <w:t>sh</w:t>
      </w:r>
      <w:r>
        <w:t>ould the depression measure be evaluated for this patient?</w:t>
      </w:r>
    </w:p>
    <w:p w14:paraId="7210725F" w14:textId="77777777" w:rsidR="00851503" w:rsidRDefault="00851503" w:rsidP="00851503">
      <w:pPr>
        <w:spacing w:after="0"/>
      </w:pPr>
    </w:p>
    <w:p w14:paraId="7C009F5E" w14:textId="77777777" w:rsidR="00851503" w:rsidRDefault="00851503" w:rsidP="00851503">
      <w:pPr>
        <w:spacing w:after="0"/>
        <w:jc w:val="center"/>
      </w:pPr>
      <w:r>
        <w:rPr>
          <w:noProof/>
        </w:rPr>
        <w:lastRenderedPageBreak/>
        <w:drawing>
          <wp:inline distT="0" distB="0" distL="0" distR="0" wp14:anchorId="62505308" wp14:editId="3E8E3B3D">
            <wp:extent cx="3145790" cy="233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2334895"/>
                    </a:xfrm>
                    <a:prstGeom prst="rect">
                      <a:avLst/>
                    </a:prstGeom>
                    <a:noFill/>
                  </pic:spPr>
                </pic:pic>
              </a:graphicData>
            </a:graphic>
          </wp:inline>
        </w:drawing>
      </w:r>
    </w:p>
    <w:p w14:paraId="3EEED8E7" w14:textId="77777777" w:rsidR="00851503" w:rsidRDefault="00851503" w:rsidP="00851503">
      <w:pPr>
        <w:spacing w:after="0"/>
      </w:pPr>
    </w:p>
    <w:p w14:paraId="6C03E437" w14:textId="77777777" w:rsidR="00851503" w:rsidRDefault="00851503" w:rsidP="00851503">
      <w:pPr>
        <w:pStyle w:val="ListParagraph"/>
        <w:numPr>
          <w:ilvl w:val="0"/>
          <w:numId w:val="3"/>
        </w:numPr>
        <w:spacing w:after="0"/>
      </w:pPr>
      <w:r>
        <w:t>Option #1: the patient should not be included in the numerator because there was no follow-up to the first positive screen in the 2018 measurement period.</w:t>
      </w:r>
    </w:p>
    <w:p w14:paraId="6C570B10" w14:textId="77777777" w:rsidR="00851503" w:rsidRDefault="00851503" w:rsidP="00851503">
      <w:pPr>
        <w:pStyle w:val="ListParagraph"/>
        <w:numPr>
          <w:ilvl w:val="0"/>
          <w:numId w:val="3"/>
        </w:numPr>
        <w:spacing w:after="0"/>
      </w:pPr>
      <w:r>
        <w:t>Option #2: the patient should be included the numerator because the patient was screened in the measurement period and the first screen was negative.</w:t>
      </w:r>
    </w:p>
    <w:p w14:paraId="312841BD" w14:textId="1CA7133F" w:rsidR="00F23A87" w:rsidRDefault="00F23A87" w:rsidP="00F23A87">
      <w:pPr>
        <w:spacing w:after="0"/>
      </w:pPr>
    </w:p>
    <w:p w14:paraId="509A274F" w14:textId="67ACE1A1" w:rsidR="00851503" w:rsidRDefault="00851503" w:rsidP="00F23A87">
      <w:pPr>
        <w:spacing w:after="0"/>
      </w:pPr>
    </w:p>
    <w:p w14:paraId="6E58DD17" w14:textId="77777777" w:rsidR="00A05B17" w:rsidRDefault="00A05B17" w:rsidP="00F23A87">
      <w:pPr>
        <w:spacing w:after="0"/>
      </w:pPr>
    </w:p>
    <w:p w14:paraId="02E7F866" w14:textId="551AF564" w:rsidR="00851503" w:rsidRDefault="00851503" w:rsidP="00851503">
      <w:pPr>
        <w:pStyle w:val="ListParagraph"/>
        <w:numPr>
          <w:ilvl w:val="0"/>
          <w:numId w:val="1"/>
        </w:numPr>
        <w:spacing w:after="0"/>
      </w:pPr>
      <w:r>
        <w:rPr>
          <w:b/>
        </w:rPr>
        <w:t xml:space="preserve">Adult Weight </w:t>
      </w:r>
      <w:r>
        <w:rPr>
          <w:b/>
        </w:rPr>
        <w:t>Exclusion</w:t>
      </w:r>
      <w:r>
        <w:rPr>
          <w:b/>
        </w:rPr>
        <w:t>s</w:t>
      </w:r>
      <w:r>
        <w:rPr>
          <w:b/>
        </w:rPr>
        <w:t xml:space="preserve"> </w:t>
      </w:r>
      <w:r>
        <w:rPr>
          <w:b/>
        </w:rPr>
        <w:t>and</w:t>
      </w:r>
      <w:r>
        <w:rPr>
          <w:b/>
        </w:rPr>
        <w:t xml:space="preserve"> Exception</w:t>
      </w:r>
      <w:r>
        <w:rPr>
          <w:b/>
        </w:rPr>
        <w:t>s</w:t>
      </w:r>
    </w:p>
    <w:p w14:paraId="18310446" w14:textId="77777777" w:rsidR="00851503" w:rsidRDefault="00851503" w:rsidP="00851503">
      <w:pPr>
        <w:spacing w:after="0"/>
      </w:pPr>
    </w:p>
    <w:p w14:paraId="2B7DB325" w14:textId="7405C7EF" w:rsidR="00851503" w:rsidRDefault="00851503" w:rsidP="00851503">
      <w:pPr>
        <w:spacing w:after="0"/>
      </w:pPr>
      <w:r w:rsidRPr="00F34BF2">
        <w:rPr>
          <w:u w:val="single"/>
        </w:rPr>
        <w:t>Report</w:t>
      </w:r>
      <w:r>
        <w:t xml:space="preserve">: </w:t>
      </w:r>
      <w:r w:rsidR="00A14639" w:rsidRPr="00A14639">
        <w:t>Adult Body Mass Index (BMI) Screening and Follow-Up Plan</w:t>
      </w:r>
    </w:p>
    <w:p w14:paraId="104E6863" w14:textId="77777777" w:rsidR="00851503" w:rsidRDefault="00851503" w:rsidP="00851503">
      <w:pPr>
        <w:spacing w:after="0"/>
      </w:pPr>
    </w:p>
    <w:p w14:paraId="2B075E8E" w14:textId="3F9EFB29" w:rsidR="00851503" w:rsidRDefault="00851503" w:rsidP="00851503">
      <w:pPr>
        <w:spacing w:after="0"/>
      </w:pPr>
      <w:r w:rsidRPr="00F41948">
        <w:rPr>
          <w:u w:val="single"/>
        </w:rPr>
        <w:t>Issue</w:t>
      </w:r>
      <w:r>
        <w:t xml:space="preserve">: </w:t>
      </w:r>
      <w:r w:rsidR="00A14639">
        <w:t>The Adult BMI and Follow-up measure has multiple exclusions and exceptions.</w:t>
      </w:r>
      <w:r w:rsidR="00A320C5">
        <w:t xml:space="preserve"> Can we agree that the proposed measure logic makes sense</w:t>
      </w:r>
      <w:r w:rsidR="00AF13F6">
        <w:t xml:space="preserve"> and is consistent with clinical guidelines</w:t>
      </w:r>
      <w:r w:rsidR="00A320C5">
        <w:t>?</w:t>
      </w:r>
    </w:p>
    <w:p w14:paraId="54C33717" w14:textId="77777777" w:rsidR="00851503" w:rsidRDefault="00851503" w:rsidP="00851503">
      <w:pPr>
        <w:spacing w:after="0"/>
      </w:pPr>
    </w:p>
    <w:p w14:paraId="60254E76" w14:textId="50BE5DD0" w:rsidR="00851503" w:rsidRDefault="00851503" w:rsidP="00AF13F6">
      <w:pPr>
        <w:spacing w:after="0"/>
      </w:pPr>
      <w:r w:rsidRPr="003432F7">
        <w:rPr>
          <w:u w:val="single"/>
        </w:rPr>
        <w:t>Description</w:t>
      </w:r>
      <w:r>
        <w:t xml:space="preserve">: </w:t>
      </w:r>
      <w:r w:rsidR="00AF13F6">
        <w:t>The definitions are on the first page of the attachment (titled “</w:t>
      </w:r>
      <w:r w:rsidR="00AF13F6" w:rsidRPr="00AF13F6">
        <w:t xml:space="preserve">Definitions </w:t>
      </w:r>
      <w:proofErr w:type="gramStart"/>
      <w:r w:rsidR="00AF13F6" w:rsidRPr="00AF13F6">
        <w:t>For</w:t>
      </w:r>
      <w:proofErr w:type="gramEnd"/>
      <w:r w:rsidR="00AF13F6" w:rsidRPr="00AF13F6">
        <w:t xml:space="preserve"> Preventive Care and Screening:</w:t>
      </w:r>
      <w:r w:rsidR="00AF13F6">
        <w:t xml:space="preserve"> </w:t>
      </w:r>
      <w:r w:rsidR="00AF13F6" w:rsidRPr="00AF13F6">
        <w:t>Body Mass Index (BMI) Screening and Follow-Up Plan</w:t>
      </w:r>
      <w:r w:rsidR="00AF13F6">
        <w:t>”).</w:t>
      </w:r>
    </w:p>
    <w:p w14:paraId="123FEE4B" w14:textId="77777777" w:rsidR="00851503" w:rsidRDefault="00851503" w:rsidP="00851503">
      <w:pPr>
        <w:spacing w:after="0"/>
      </w:pPr>
    </w:p>
    <w:p w14:paraId="13715024" w14:textId="40BDD6DA" w:rsidR="00AF13F6" w:rsidRPr="00AF13F6" w:rsidRDefault="00851503" w:rsidP="00AF13F6">
      <w:r w:rsidRPr="00C512FD">
        <w:rPr>
          <w:u w:val="single"/>
        </w:rPr>
        <w:t>Additional Information</w:t>
      </w:r>
      <w:r>
        <w:t xml:space="preserve">: </w:t>
      </w:r>
      <w:r w:rsidR="00AF13F6">
        <w:t>The logic plan is on the second page of the attachment (titled “</w:t>
      </w:r>
      <w:r w:rsidR="00AF13F6" w:rsidRPr="00AF13F6">
        <w:t xml:space="preserve">Proposed Logic </w:t>
      </w:r>
      <w:proofErr w:type="gramStart"/>
      <w:r w:rsidR="00AF13F6" w:rsidRPr="00AF13F6">
        <w:t>For</w:t>
      </w:r>
      <w:proofErr w:type="gramEnd"/>
      <w:r w:rsidR="00AF13F6" w:rsidRPr="00AF13F6">
        <w:t xml:space="preserve"> Adult Body Mass Index (BMI) Screening and Follow-Up Plan</w:t>
      </w:r>
      <w:r w:rsidR="00AF13F6">
        <w:t>”)</w:t>
      </w:r>
    </w:p>
    <w:p w14:paraId="39A57C87" w14:textId="62835DCE" w:rsidR="00851503" w:rsidRDefault="00851503" w:rsidP="00851503">
      <w:pPr>
        <w:spacing w:after="0"/>
      </w:pPr>
    </w:p>
    <w:p w14:paraId="1CFC6F92" w14:textId="1B50FE85" w:rsidR="005E76E5" w:rsidRDefault="005E76E5" w:rsidP="00F23A87">
      <w:pPr>
        <w:spacing w:after="0"/>
      </w:pPr>
    </w:p>
    <w:p w14:paraId="0D40FCED" w14:textId="1133C3F4" w:rsidR="005E76E5" w:rsidRDefault="005E76E5" w:rsidP="00F23A87">
      <w:pPr>
        <w:spacing w:after="0"/>
      </w:pPr>
    </w:p>
    <w:p w14:paraId="09F10F6E" w14:textId="7FE9B3BE" w:rsidR="005E76E5" w:rsidRDefault="005E76E5" w:rsidP="00F23A87">
      <w:pPr>
        <w:spacing w:after="0"/>
      </w:pPr>
    </w:p>
    <w:p w14:paraId="43A1767C" w14:textId="244B53A2" w:rsidR="005E76E5" w:rsidRDefault="005E76E5" w:rsidP="00F23A87">
      <w:pPr>
        <w:spacing w:after="0"/>
      </w:pPr>
    </w:p>
    <w:p w14:paraId="78D4267F" w14:textId="77777777" w:rsidR="005E76E5" w:rsidRDefault="005E76E5" w:rsidP="00F23A87">
      <w:pPr>
        <w:spacing w:after="0"/>
      </w:pPr>
    </w:p>
    <w:sectPr w:rsidR="005E76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6CE7" w14:textId="77777777" w:rsidR="00561777" w:rsidRDefault="00561777" w:rsidP="000D2E07">
      <w:pPr>
        <w:spacing w:after="0" w:line="240" w:lineRule="auto"/>
      </w:pPr>
      <w:r>
        <w:separator/>
      </w:r>
    </w:p>
  </w:endnote>
  <w:endnote w:type="continuationSeparator" w:id="0">
    <w:p w14:paraId="2F996567" w14:textId="77777777" w:rsidR="00561777" w:rsidRDefault="00561777" w:rsidP="000D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F986" w14:textId="77777777" w:rsidR="000D2E07" w:rsidRDefault="000D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256180205"/>
      <w:docPartObj>
        <w:docPartGallery w:val="Page Numbers (Bottom of Page)"/>
        <w:docPartUnique/>
      </w:docPartObj>
    </w:sdtPr>
    <w:sdtContent>
      <w:sdt>
        <w:sdtPr>
          <w:rPr>
            <w:rFonts w:ascii="Calibri" w:hAnsi="Calibri" w:cs="Calibri"/>
            <w:sz w:val="20"/>
            <w:szCs w:val="20"/>
          </w:rPr>
          <w:id w:val="1728636285"/>
          <w:docPartObj>
            <w:docPartGallery w:val="Page Numbers (Top of Page)"/>
            <w:docPartUnique/>
          </w:docPartObj>
        </w:sdtPr>
        <w:sdtContent>
          <w:p w14:paraId="4072B33B" w14:textId="0FE6E886" w:rsidR="000D2E07" w:rsidRPr="000D2E07" w:rsidRDefault="000D2E07">
            <w:pPr>
              <w:pStyle w:val="Footer"/>
              <w:jc w:val="center"/>
              <w:rPr>
                <w:rFonts w:ascii="Calibri" w:hAnsi="Calibri" w:cs="Calibri"/>
                <w:sz w:val="20"/>
                <w:szCs w:val="20"/>
              </w:rPr>
            </w:pPr>
            <w:r w:rsidRPr="000D2E07">
              <w:rPr>
                <w:rFonts w:ascii="Calibri" w:hAnsi="Calibri" w:cs="Calibri"/>
                <w:sz w:val="20"/>
                <w:szCs w:val="20"/>
              </w:rPr>
              <w:t>October 1</w:t>
            </w:r>
            <w:r>
              <w:rPr>
                <w:rFonts w:ascii="Calibri" w:hAnsi="Calibri" w:cs="Calibri"/>
                <w:sz w:val="20"/>
                <w:szCs w:val="20"/>
              </w:rPr>
              <w:t>,</w:t>
            </w:r>
            <w:r w:rsidRPr="000D2E07">
              <w:rPr>
                <w:rFonts w:ascii="Calibri" w:hAnsi="Calibri" w:cs="Calibri"/>
                <w:sz w:val="20"/>
                <w:szCs w:val="20"/>
              </w:rPr>
              <w:t xml:space="preserve"> </w:t>
            </w:r>
            <w:r>
              <w:rPr>
                <w:rFonts w:ascii="Calibri" w:hAnsi="Calibri" w:cs="Calibri"/>
                <w:sz w:val="20"/>
                <w:szCs w:val="20"/>
              </w:rPr>
              <w:t xml:space="preserve">2018 </w:t>
            </w:r>
            <w:r w:rsidRPr="000D2E07">
              <w:rPr>
                <w:rFonts w:ascii="Calibri" w:hAnsi="Calibri" w:cs="Calibri"/>
                <w:sz w:val="20"/>
                <w:szCs w:val="20"/>
              </w:rPr>
              <w:t xml:space="preserve">Meeting. Page </w:t>
            </w:r>
            <w:r w:rsidRPr="000D2E07">
              <w:rPr>
                <w:rFonts w:ascii="Calibri" w:hAnsi="Calibri" w:cs="Calibri"/>
                <w:b/>
                <w:bCs/>
                <w:sz w:val="20"/>
                <w:szCs w:val="20"/>
              </w:rPr>
              <w:fldChar w:fldCharType="begin"/>
            </w:r>
            <w:r w:rsidRPr="000D2E07">
              <w:rPr>
                <w:rFonts w:ascii="Calibri" w:hAnsi="Calibri" w:cs="Calibri"/>
                <w:b/>
                <w:bCs/>
                <w:sz w:val="20"/>
                <w:szCs w:val="20"/>
              </w:rPr>
              <w:instrText xml:space="preserve"> PAGE </w:instrText>
            </w:r>
            <w:r w:rsidRPr="000D2E07">
              <w:rPr>
                <w:rFonts w:ascii="Calibri" w:hAnsi="Calibri" w:cs="Calibri"/>
                <w:b/>
                <w:bCs/>
                <w:sz w:val="20"/>
                <w:szCs w:val="20"/>
              </w:rPr>
              <w:fldChar w:fldCharType="separate"/>
            </w:r>
            <w:r w:rsidRPr="000D2E07">
              <w:rPr>
                <w:rFonts w:ascii="Calibri" w:hAnsi="Calibri" w:cs="Calibri"/>
                <w:b/>
                <w:bCs/>
                <w:noProof/>
                <w:sz w:val="20"/>
                <w:szCs w:val="20"/>
              </w:rPr>
              <w:t>2</w:t>
            </w:r>
            <w:r w:rsidRPr="000D2E07">
              <w:rPr>
                <w:rFonts w:ascii="Calibri" w:hAnsi="Calibri" w:cs="Calibri"/>
                <w:b/>
                <w:bCs/>
                <w:sz w:val="20"/>
                <w:szCs w:val="20"/>
              </w:rPr>
              <w:fldChar w:fldCharType="end"/>
            </w:r>
            <w:r w:rsidRPr="000D2E07">
              <w:rPr>
                <w:rFonts w:ascii="Calibri" w:hAnsi="Calibri" w:cs="Calibri"/>
                <w:sz w:val="20"/>
                <w:szCs w:val="20"/>
              </w:rPr>
              <w:t xml:space="preserve"> of </w:t>
            </w:r>
            <w:r w:rsidRPr="000D2E07">
              <w:rPr>
                <w:rFonts w:ascii="Calibri" w:hAnsi="Calibri" w:cs="Calibri"/>
                <w:b/>
                <w:bCs/>
                <w:sz w:val="20"/>
                <w:szCs w:val="20"/>
              </w:rPr>
              <w:fldChar w:fldCharType="begin"/>
            </w:r>
            <w:r w:rsidRPr="000D2E07">
              <w:rPr>
                <w:rFonts w:ascii="Calibri" w:hAnsi="Calibri" w:cs="Calibri"/>
                <w:b/>
                <w:bCs/>
                <w:sz w:val="20"/>
                <w:szCs w:val="20"/>
              </w:rPr>
              <w:instrText xml:space="preserve"> NUMPAGES  </w:instrText>
            </w:r>
            <w:r w:rsidRPr="000D2E07">
              <w:rPr>
                <w:rFonts w:ascii="Calibri" w:hAnsi="Calibri" w:cs="Calibri"/>
                <w:b/>
                <w:bCs/>
                <w:sz w:val="20"/>
                <w:szCs w:val="20"/>
              </w:rPr>
              <w:fldChar w:fldCharType="separate"/>
            </w:r>
            <w:r w:rsidRPr="000D2E07">
              <w:rPr>
                <w:rFonts w:ascii="Calibri" w:hAnsi="Calibri" w:cs="Calibri"/>
                <w:b/>
                <w:bCs/>
                <w:noProof/>
                <w:sz w:val="20"/>
                <w:szCs w:val="20"/>
              </w:rPr>
              <w:t>2</w:t>
            </w:r>
            <w:r w:rsidRPr="000D2E07">
              <w:rPr>
                <w:rFonts w:ascii="Calibri" w:hAnsi="Calibri" w:cs="Calibri"/>
                <w:b/>
                <w:bCs/>
                <w:sz w:val="20"/>
                <w:szCs w:val="20"/>
              </w:rPr>
              <w:fldChar w:fldCharType="end"/>
            </w:r>
          </w:p>
        </w:sdtContent>
      </w:sdt>
    </w:sdtContent>
  </w:sdt>
  <w:p w14:paraId="63BA5259" w14:textId="77777777" w:rsidR="000D2E07" w:rsidRDefault="000D2E0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ACF3" w14:textId="77777777" w:rsidR="000D2E07" w:rsidRDefault="000D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1E18" w14:textId="77777777" w:rsidR="00561777" w:rsidRDefault="00561777" w:rsidP="000D2E07">
      <w:pPr>
        <w:spacing w:after="0" w:line="240" w:lineRule="auto"/>
      </w:pPr>
      <w:r>
        <w:separator/>
      </w:r>
    </w:p>
  </w:footnote>
  <w:footnote w:type="continuationSeparator" w:id="0">
    <w:p w14:paraId="28ACD124" w14:textId="77777777" w:rsidR="00561777" w:rsidRDefault="00561777" w:rsidP="000D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AEF0" w14:textId="77777777" w:rsidR="000D2E07" w:rsidRDefault="000D2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660E" w14:textId="77777777" w:rsidR="000D2E07" w:rsidRDefault="000D2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4820" w14:textId="77777777" w:rsidR="000D2E07" w:rsidRDefault="000D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0DE9"/>
    <w:multiLevelType w:val="hybridMultilevel"/>
    <w:tmpl w:val="9C58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FF1"/>
    <w:multiLevelType w:val="hybridMultilevel"/>
    <w:tmpl w:val="D22EA9B8"/>
    <w:lvl w:ilvl="0" w:tplc="A4E8E9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937A7"/>
    <w:multiLevelType w:val="hybridMultilevel"/>
    <w:tmpl w:val="908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81FBB"/>
    <w:multiLevelType w:val="hybridMultilevel"/>
    <w:tmpl w:val="0AEC78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A713C"/>
    <w:multiLevelType w:val="hybridMultilevel"/>
    <w:tmpl w:val="BC2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77971"/>
    <w:multiLevelType w:val="hybridMultilevel"/>
    <w:tmpl w:val="065693A2"/>
    <w:lvl w:ilvl="0" w:tplc="6B46C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83F8B"/>
    <w:multiLevelType w:val="hybridMultilevel"/>
    <w:tmpl w:val="D9007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87"/>
    <w:rsid w:val="000734F9"/>
    <w:rsid w:val="000D2E07"/>
    <w:rsid w:val="000E210E"/>
    <w:rsid w:val="00286A34"/>
    <w:rsid w:val="005267CB"/>
    <w:rsid w:val="00561777"/>
    <w:rsid w:val="005E76E5"/>
    <w:rsid w:val="00851503"/>
    <w:rsid w:val="008821FE"/>
    <w:rsid w:val="00A05B17"/>
    <w:rsid w:val="00A14639"/>
    <w:rsid w:val="00A320C5"/>
    <w:rsid w:val="00AF13F6"/>
    <w:rsid w:val="00C27BA7"/>
    <w:rsid w:val="00D274D0"/>
    <w:rsid w:val="00F2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93E7"/>
  <w15:chartTrackingRefBased/>
  <w15:docId w15:val="{8763F8E0-33A9-4467-9B4E-4201492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A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87"/>
    <w:pPr>
      <w:ind w:left="720"/>
      <w:contextualSpacing/>
    </w:pPr>
  </w:style>
  <w:style w:type="table" w:styleId="TableGrid">
    <w:name w:val="Table Grid"/>
    <w:basedOn w:val="TableNormal"/>
    <w:uiPriority w:val="39"/>
    <w:rsid w:val="00D2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3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07"/>
  </w:style>
  <w:style w:type="paragraph" w:styleId="Footer">
    <w:name w:val="footer"/>
    <w:basedOn w:val="Normal"/>
    <w:link w:val="FooterChar"/>
    <w:uiPriority w:val="99"/>
    <w:unhideWhenUsed/>
    <w:rsid w:val="000D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2018-09-28T03:43:00Z</dcterms:created>
  <dcterms:modified xsi:type="dcterms:W3CDTF">2018-09-28T06:13:00Z</dcterms:modified>
</cp:coreProperties>
</file>