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BECCF" w14:textId="77777777" w:rsidR="006C101B" w:rsidRPr="00423F40" w:rsidRDefault="006C101B" w:rsidP="006C101B">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Standards and Integrity Committee</w:t>
      </w:r>
    </w:p>
    <w:p w14:paraId="7EA87B6A" w14:textId="63D2C205" w:rsidR="006C101B" w:rsidRPr="008B7576" w:rsidRDefault="00C15960" w:rsidP="006C101B">
      <w:pPr>
        <w:spacing w:after="0"/>
        <w:rPr>
          <w:b/>
          <w:bCs/>
        </w:rPr>
      </w:pPr>
      <w:r w:rsidRPr="008B7576">
        <w:rPr>
          <w:b/>
          <w:bCs/>
        </w:rPr>
        <w:t>January 6, 2020</w:t>
      </w:r>
      <w:r w:rsidR="006C101B" w:rsidRPr="008B7576">
        <w:rPr>
          <w:b/>
          <w:bCs/>
        </w:rPr>
        <w:t xml:space="preserve"> Meeting</w:t>
      </w:r>
    </w:p>
    <w:p w14:paraId="209396E2" w14:textId="2D542EC5" w:rsidR="006C101B" w:rsidRDefault="006C101B" w:rsidP="006C101B">
      <w:pPr>
        <w:spacing w:after="0"/>
      </w:pPr>
      <w:r>
        <w:t xml:space="preserve">Version </w:t>
      </w:r>
      <w:r w:rsidR="00A20FE3">
        <w:t>2</w:t>
      </w:r>
      <w:r>
        <w:t xml:space="preserve">, By Ben </w:t>
      </w:r>
      <w:proofErr w:type="spellStart"/>
      <w:r>
        <w:t>Fouts</w:t>
      </w:r>
      <w:proofErr w:type="spellEnd"/>
      <w:r>
        <w:t xml:space="preserve"> MPH, RCHC Data Analyst</w:t>
      </w:r>
    </w:p>
    <w:p w14:paraId="59101BDD" w14:textId="77777777" w:rsidR="006C101B" w:rsidRDefault="006C101B" w:rsidP="006C101B">
      <w:pPr>
        <w:spacing w:after="0"/>
      </w:pPr>
    </w:p>
    <w:p w14:paraId="4778E225" w14:textId="77777777" w:rsidR="006C101B" w:rsidRDefault="006C101B" w:rsidP="006C101B">
      <w:pPr>
        <w:spacing w:after="0"/>
      </w:pPr>
    </w:p>
    <w:p w14:paraId="0A3448A2" w14:textId="1073D866" w:rsidR="00DC0C87" w:rsidRDefault="00C15960" w:rsidP="00DC0C87">
      <w:pPr>
        <w:pStyle w:val="ListParagraph"/>
        <w:numPr>
          <w:ilvl w:val="0"/>
          <w:numId w:val="1"/>
        </w:numPr>
        <w:spacing w:after="0"/>
      </w:pPr>
      <w:r>
        <w:rPr>
          <w:b/>
        </w:rPr>
        <w:t xml:space="preserve">Using Value Sets to Define Medications </w:t>
      </w:r>
      <w:r w:rsidR="000279AB">
        <w:rPr>
          <w:b/>
        </w:rPr>
        <w:t>f</w:t>
      </w:r>
      <w:r>
        <w:rPr>
          <w:b/>
        </w:rPr>
        <w:t>or the Quality Measures</w:t>
      </w:r>
    </w:p>
    <w:p w14:paraId="12D3355D" w14:textId="77777777" w:rsidR="00DC0C87" w:rsidRDefault="00DC0C87" w:rsidP="00DC0C87">
      <w:pPr>
        <w:spacing w:after="0"/>
      </w:pPr>
    </w:p>
    <w:p w14:paraId="462E7E32" w14:textId="3C43CCD6" w:rsidR="005A5D31" w:rsidRDefault="00DC0C87" w:rsidP="00DC0C87">
      <w:pPr>
        <w:spacing w:after="0"/>
      </w:pPr>
      <w:r w:rsidRPr="00F34BF2">
        <w:rPr>
          <w:u w:val="single"/>
        </w:rPr>
        <w:t>Report</w:t>
      </w:r>
      <w:r>
        <w:t xml:space="preserve">: </w:t>
      </w:r>
      <w:r w:rsidR="00C15960">
        <w:t xml:space="preserve">All UDS </w:t>
      </w:r>
      <w:r w:rsidR="00AD2180">
        <w:t>m</w:t>
      </w:r>
      <w:r w:rsidR="00C15960">
        <w:t>easures</w:t>
      </w:r>
      <w:r w:rsidR="004B0D4A">
        <w:t xml:space="preserve"> that require medications</w:t>
      </w:r>
      <w:r w:rsidR="00AD2180">
        <w:t xml:space="preserve"> (and hopefully also QIP Measures in the future)</w:t>
      </w:r>
    </w:p>
    <w:p w14:paraId="32D699C1" w14:textId="6DD560DF" w:rsidR="00DC0C87" w:rsidRDefault="00DC0C87" w:rsidP="00DC0C87">
      <w:pPr>
        <w:spacing w:after="0"/>
      </w:pPr>
    </w:p>
    <w:p w14:paraId="41D4EECC" w14:textId="5D1D147F" w:rsidR="00DC0C87" w:rsidRDefault="00DC0C87" w:rsidP="00C15960">
      <w:pPr>
        <w:spacing w:after="0"/>
      </w:pPr>
      <w:r w:rsidRPr="00F41948">
        <w:rPr>
          <w:u w:val="single"/>
        </w:rPr>
        <w:t>Issue</w:t>
      </w:r>
      <w:r>
        <w:t xml:space="preserve">: </w:t>
      </w:r>
      <w:r w:rsidR="00AD2180">
        <w:t>Validation of the new medications Transformer (</w:t>
      </w:r>
      <w:proofErr w:type="spellStart"/>
      <w:r w:rsidR="00AD2180">
        <w:t>relevant_medications</w:t>
      </w:r>
      <w:proofErr w:type="spellEnd"/>
      <w:r w:rsidR="00AD2180">
        <w:t>)</w:t>
      </w:r>
      <w:r w:rsidR="004B0D4A">
        <w:t xml:space="preserve">. </w:t>
      </w:r>
    </w:p>
    <w:p w14:paraId="16124242" w14:textId="0C909233" w:rsidR="00DC0C87" w:rsidRDefault="00DC0C87" w:rsidP="00DC0C87">
      <w:pPr>
        <w:spacing w:after="0"/>
      </w:pPr>
    </w:p>
    <w:p w14:paraId="74D6BDA4" w14:textId="47418C52" w:rsidR="00AD2180" w:rsidRDefault="00DC0C87" w:rsidP="00C15960">
      <w:pPr>
        <w:spacing w:after="0"/>
      </w:pPr>
      <w:r w:rsidRPr="003432F7">
        <w:rPr>
          <w:u w:val="single"/>
        </w:rPr>
        <w:t>Description</w:t>
      </w:r>
      <w:r>
        <w:t>:</w:t>
      </w:r>
      <w:r w:rsidR="00006B7F">
        <w:t xml:space="preserve"> </w:t>
      </w:r>
      <w:r w:rsidR="00AD2180">
        <w:t xml:space="preserve">A new Transformer for medications has been added to Relevant with the intention of allowing medications to be identified by their association with the </w:t>
      </w:r>
      <w:proofErr w:type="spellStart"/>
      <w:r w:rsidR="00AD2180">
        <w:t>eCQM</w:t>
      </w:r>
      <w:proofErr w:type="spellEnd"/>
      <w:r w:rsidR="00AD2180">
        <w:t xml:space="preserve"> Value Sets. As previously discussed in this Committee, published Value Sets use the RXNORM standard but the medication compendium in </w:t>
      </w:r>
      <w:proofErr w:type="spellStart"/>
      <w:r w:rsidR="00AD2180">
        <w:t>eCW</w:t>
      </w:r>
      <w:proofErr w:type="spellEnd"/>
      <w:r w:rsidR="00AD2180">
        <w:t xml:space="preserve"> and NextGen uses the NDC standard. Relevant created this Transformer to bridge the two standards using a crosswalk.</w:t>
      </w:r>
    </w:p>
    <w:p w14:paraId="54311D21" w14:textId="77777777" w:rsidR="00AD2180" w:rsidRDefault="00AD2180" w:rsidP="00C15960">
      <w:pPr>
        <w:spacing w:after="0"/>
      </w:pPr>
    </w:p>
    <w:p w14:paraId="320194A9" w14:textId="37CBF533" w:rsidR="004E45B2" w:rsidRDefault="00AD2180" w:rsidP="00C15960">
      <w:pPr>
        <w:spacing w:after="0"/>
      </w:pPr>
      <w:r>
        <w:t>Health centers can examine which medications in their system are associated with the Value Sets by using the new RCHC validation report named “</w:t>
      </w:r>
      <w:bookmarkStart w:id="0" w:name="_Hlk22553477"/>
      <w:r w:rsidRPr="00F25EAB">
        <w:t xml:space="preserve">List </w:t>
      </w:r>
      <w:r>
        <w:t>A</w:t>
      </w:r>
      <w:r w:rsidRPr="00F25EAB">
        <w:t xml:space="preserve">ll </w:t>
      </w:r>
      <w:r>
        <w:t>M</w:t>
      </w:r>
      <w:r w:rsidRPr="00F25EAB">
        <w:t xml:space="preserve">edications and </w:t>
      </w:r>
      <w:r>
        <w:t>Rx G</w:t>
      </w:r>
      <w:r w:rsidRPr="00F25EAB">
        <w:t>roups</w:t>
      </w:r>
      <w:bookmarkEnd w:id="0"/>
      <w:r>
        <w:t>.</w:t>
      </w:r>
      <w:r w:rsidR="004B0D4A">
        <w:rPr>
          <w:rStyle w:val="FootnoteReference"/>
        </w:rPr>
        <w:footnoteReference w:id="1"/>
      </w:r>
      <w:r>
        <w:t xml:space="preserve">” This report lists all medications with an action in the measurement period. One medication (having a unique </w:t>
      </w:r>
      <w:proofErr w:type="spellStart"/>
      <w:r>
        <w:t>ItemID</w:t>
      </w:r>
      <w:proofErr w:type="spellEnd"/>
      <w:r>
        <w:t>) is displayed on one row and there are columns for the Rx Group(s) and the Value Set(s).</w:t>
      </w:r>
    </w:p>
    <w:p w14:paraId="0EC1EC00" w14:textId="40877086" w:rsidR="00AD2180" w:rsidRDefault="00AD2180" w:rsidP="00C15960">
      <w:pPr>
        <w:spacing w:after="0"/>
      </w:pPr>
    </w:p>
    <w:p w14:paraId="26F4AB2F" w14:textId="3227F30E" w:rsidR="00AD2180" w:rsidRDefault="00AD2180" w:rsidP="00C15960">
      <w:pPr>
        <w:spacing w:after="0"/>
      </w:pPr>
      <w:r>
        <w:t xml:space="preserve">The health center should run the report </w:t>
      </w:r>
      <w:r w:rsidR="00AA4C1B">
        <w:t>(suggested measurement period start date = 1/1/2018 to see all “recent” medications) and export the results to Excel. Use the Filter function in Excel to filter and count medications in each of the UDS categories for medications. You can filter the Rx Group(s) and Value Set(s) columns separately and together.</w:t>
      </w:r>
    </w:p>
    <w:p w14:paraId="7F1F1A7B" w14:textId="6747CE60" w:rsidR="00DC0C87" w:rsidRDefault="00DC0C87" w:rsidP="006C101B">
      <w:pPr>
        <w:spacing w:after="0"/>
      </w:pPr>
    </w:p>
    <w:p w14:paraId="50B88B1C" w14:textId="0E711EFD" w:rsidR="00DC0C87" w:rsidRDefault="00DC0C87" w:rsidP="00DC0C87">
      <w:pPr>
        <w:spacing w:after="0"/>
      </w:pPr>
      <w:r w:rsidRPr="00C512FD">
        <w:rPr>
          <w:u w:val="single"/>
        </w:rPr>
        <w:t>Additional Information</w:t>
      </w:r>
      <w:r>
        <w:t xml:space="preserve">: </w:t>
      </w:r>
      <w:r w:rsidR="00AA4C1B">
        <w:t xml:space="preserve">Beginning on the next page </w:t>
      </w:r>
      <w:r w:rsidR="004B0D4A">
        <w:t xml:space="preserve">are </w:t>
      </w:r>
      <w:r w:rsidR="00AA4C1B">
        <w:t>example</w:t>
      </w:r>
      <w:r w:rsidR="004B0D4A">
        <w:t>s</w:t>
      </w:r>
      <w:r w:rsidR="00AA4C1B">
        <w:t xml:space="preserve"> of a medication data summary</w:t>
      </w:r>
      <w:r w:rsidR="004B0D4A">
        <w:t xml:space="preserve"> from two health centers</w:t>
      </w:r>
      <w:r w:rsidR="00AA4C1B">
        <w:t xml:space="preserve">. What we are interested in is the extent that the medications in the Rx Groups overlap the medications in the Value Sets. </w:t>
      </w:r>
      <w:r w:rsidR="000279AB">
        <w:t>Adopting t</w:t>
      </w:r>
      <w:r w:rsidR="00AA4C1B">
        <w:t xml:space="preserve">his approach assumes that your health center has maintained the medication lists in the Rx Group. </w:t>
      </w:r>
      <w:proofErr w:type="gramStart"/>
      <w:r w:rsidR="00FD2D06">
        <w:t>Both of the health</w:t>
      </w:r>
      <w:proofErr w:type="gramEnd"/>
      <w:r w:rsidR="00FD2D06">
        <w:t xml:space="preserve"> centers in the example have been updating their Rx Groups.</w:t>
      </w:r>
    </w:p>
    <w:p w14:paraId="7EEB106A" w14:textId="1AE1A47A" w:rsidR="000279AB" w:rsidRDefault="000279AB" w:rsidP="00DC0C87">
      <w:pPr>
        <w:spacing w:after="0"/>
      </w:pPr>
    </w:p>
    <w:p w14:paraId="5D6F9A6F" w14:textId="58C7D830" w:rsidR="000279AB" w:rsidRDefault="000279AB" w:rsidP="00DC0C87">
      <w:pPr>
        <w:spacing w:after="0"/>
      </w:pPr>
      <w:r>
        <w:t>In these examples, you can see that only about 74% to 80% of the medications in the five major groups are common between the Value Set and the Rx Group. More medications are identified by the Value Set method. Around 20% to 22% of medications identified by the Value Sets were not part of the corresponding Rx Group. Conversely, 13% to 16% of the medications in the Rx Group were not in the Value Set.</w:t>
      </w:r>
    </w:p>
    <w:p w14:paraId="05BD9CD5" w14:textId="5636405D" w:rsidR="000279AB" w:rsidRDefault="000279AB" w:rsidP="00DC0C87">
      <w:pPr>
        <w:spacing w:after="0"/>
      </w:pPr>
    </w:p>
    <w:p w14:paraId="308F1BF3" w14:textId="63C113F4" w:rsidR="004B0D4A" w:rsidRDefault="000279AB" w:rsidP="00DC0C87">
      <w:pPr>
        <w:spacing w:after="0"/>
      </w:pPr>
      <w:r>
        <w:t>It is recommended that each health center use the RCHC validation report to make a similar table for their own medication groups.</w:t>
      </w:r>
      <w:r w:rsidR="000133BD">
        <w:t xml:space="preserve"> Look at the medications not common between the two sets and </w:t>
      </w:r>
      <w:r w:rsidR="000133BD">
        <w:lastRenderedPageBreak/>
        <w:t>determine if these legitimately should be in the measure.</w:t>
      </w:r>
      <w:r>
        <w:t xml:space="preserve"> </w:t>
      </w:r>
      <w:r w:rsidR="004B0D4A">
        <w:t xml:space="preserve">Furthermore, if you are going to continue using the Rx Groups for your 2019 Quality Measures, you can see which medications are missing from your Rx Groups and add them in. </w:t>
      </w:r>
    </w:p>
    <w:p w14:paraId="388555A2" w14:textId="77777777" w:rsidR="004B0D4A" w:rsidRDefault="004B0D4A" w:rsidP="00DC0C87">
      <w:pPr>
        <w:spacing w:after="0"/>
      </w:pPr>
    </w:p>
    <w:p w14:paraId="3AFA07B1" w14:textId="1DD9F90C" w:rsidR="004B0D4A" w:rsidRDefault="000133BD" w:rsidP="00DC0C87">
      <w:pPr>
        <w:spacing w:after="0"/>
      </w:pPr>
      <w:r>
        <w:t xml:space="preserve">Ben </w:t>
      </w:r>
      <w:proofErr w:type="spellStart"/>
      <w:r>
        <w:t>Fouts</w:t>
      </w:r>
      <w:proofErr w:type="spellEnd"/>
      <w:r>
        <w:t xml:space="preserve"> has made some recommendations to Relevant during his validation of the Transformer, so there might be a new version available soon.</w:t>
      </w:r>
      <w:r w:rsidR="004B0D4A">
        <w:t xml:space="preserve"> When are we as a group going to implement the switch to using the Value Sets to identify medications for the Quality Measures?</w:t>
      </w:r>
    </w:p>
    <w:p w14:paraId="4E3412F5" w14:textId="77777777" w:rsidR="004B0D4A" w:rsidRDefault="004B0D4A" w:rsidP="00DC0C87">
      <w:pPr>
        <w:spacing w:after="0"/>
      </w:pPr>
    </w:p>
    <w:p w14:paraId="6C463656" w14:textId="77777777" w:rsidR="004B0D4A" w:rsidRDefault="004B0D4A" w:rsidP="00DC0C87">
      <w:pPr>
        <w:spacing w:after="0"/>
      </w:pPr>
    </w:p>
    <w:p w14:paraId="59380297" w14:textId="25669180" w:rsidR="00AA4C1B" w:rsidRPr="004B0D4A" w:rsidRDefault="00AA4C1B" w:rsidP="00AA4C1B">
      <w:pPr>
        <w:spacing w:after="0"/>
        <w:rPr>
          <w:i/>
          <w:iCs/>
        </w:rPr>
      </w:pPr>
      <w:r w:rsidRPr="004B0D4A">
        <w:rPr>
          <w:i/>
          <w:iCs/>
        </w:rPr>
        <w:t xml:space="preserve">Example </w:t>
      </w:r>
      <w:r w:rsidR="00337E33" w:rsidRPr="004B0D4A">
        <w:rPr>
          <w:i/>
          <w:iCs/>
        </w:rPr>
        <w:t>of Medication</w:t>
      </w:r>
      <w:r w:rsidRPr="004B0D4A">
        <w:rPr>
          <w:i/>
          <w:iCs/>
        </w:rPr>
        <w:t xml:space="preserve"> Data </w:t>
      </w:r>
      <w:r w:rsidR="00337E33" w:rsidRPr="004B0D4A">
        <w:rPr>
          <w:i/>
          <w:iCs/>
        </w:rPr>
        <w:t>f</w:t>
      </w:r>
      <w:r w:rsidRPr="004B0D4A">
        <w:rPr>
          <w:i/>
          <w:iCs/>
        </w:rPr>
        <w:t>rom Petaluma Health Center</w:t>
      </w:r>
    </w:p>
    <w:tbl>
      <w:tblPr>
        <w:tblW w:w="9535" w:type="dxa"/>
        <w:tblLook w:val="04A0" w:firstRow="1" w:lastRow="0" w:firstColumn="1" w:lastColumn="0" w:noHBand="0" w:noVBand="1"/>
      </w:tblPr>
      <w:tblGrid>
        <w:gridCol w:w="2245"/>
        <w:gridCol w:w="1710"/>
        <w:gridCol w:w="900"/>
        <w:gridCol w:w="900"/>
        <w:gridCol w:w="1260"/>
        <w:gridCol w:w="1260"/>
        <w:gridCol w:w="1260"/>
      </w:tblGrid>
      <w:tr w:rsidR="00AA4C1B" w:rsidRPr="00AA4C1B" w14:paraId="63990843" w14:textId="77777777" w:rsidTr="00A123E2">
        <w:trPr>
          <w:trHeight w:val="300"/>
        </w:trPr>
        <w:tc>
          <w:tcPr>
            <w:tcW w:w="2245" w:type="dxa"/>
            <w:vMerge w:val="restart"/>
            <w:tcBorders>
              <w:top w:val="single" w:sz="4" w:space="0" w:color="auto"/>
              <w:left w:val="single" w:sz="4" w:space="0" w:color="auto"/>
              <w:bottom w:val="single" w:sz="4" w:space="0" w:color="auto"/>
              <w:right w:val="single" w:sz="4" w:space="0" w:color="auto"/>
            </w:tcBorders>
            <w:shd w:val="clear" w:color="000000" w:fill="F8CBAD"/>
            <w:vAlign w:val="bottom"/>
            <w:hideMark/>
          </w:tcPr>
          <w:p w14:paraId="0C091993" w14:textId="77777777" w:rsidR="00AA4C1B" w:rsidRDefault="00AA4C1B" w:rsidP="00A123E2">
            <w:pPr>
              <w:spacing w:after="0" w:line="240" w:lineRule="auto"/>
              <w:jc w:val="center"/>
              <w:rPr>
                <w:rFonts w:ascii="Calibri" w:eastAsia="Times New Roman" w:hAnsi="Calibri" w:cs="Calibri"/>
                <w:color w:val="000000"/>
                <w:sz w:val="20"/>
                <w:szCs w:val="20"/>
              </w:rPr>
            </w:pPr>
          </w:p>
          <w:p w14:paraId="5426D905" w14:textId="77777777" w:rsidR="00AA4C1B" w:rsidRPr="00AA4C1B" w:rsidRDefault="00AA4C1B" w:rsidP="00A123E2">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 xml:space="preserve">UDS measure </w:t>
            </w:r>
            <w:r>
              <w:rPr>
                <w:rFonts w:ascii="Calibri" w:eastAsia="Times New Roman" w:hAnsi="Calibri" w:cs="Calibri"/>
                <w:color w:val="000000"/>
                <w:sz w:val="20"/>
                <w:szCs w:val="20"/>
              </w:rPr>
              <w:t>QMs</w:t>
            </w:r>
          </w:p>
        </w:tc>
        <w:tc>
          <w:tcPr>
            <w:tcW w:w="1710" w:type="dxa"/>
            <w:vMerge w:val="restart"/>
            <w:tcBorders>
              <w:top w:val="single" w:sz="4" w:space="0" w:color="auto"/>
              <w:left w:val="single" w:sz="4" w:space="0" w:color="auto"/>
              <w:bottom w:val="single" w:sz="4" w:space="0" w:color="auto"/>
              <w:right w:val="single" w:sz="4" w:space="0" w:color="auto"/>
            </w:tcBorders>
            <w:shd w:val="clear" w:color="000000" w:fill="F8CBAD"/>
            <w:vAlign w:val="bottom"/>
            <w:hideMark/>
          </w:tcPr>
          <w:p w14:paraId="71606CA1" w14:textId="77777777" w:rsidR="00AA4C1B" w:rsidRPr="00AA4C1B" w:rsidRDefault="00AA4C1B" w:rsidP="00A123E2">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UDS value set names</w:t>
            </w:r>
          </w:p>
        </w:tc>
        <w:tc>
          <w:tcPr>
            <w:tcW w:w="1800" w:type="dxa"/>
            <w:gridSpan w:val="2"/>
            <w:tcBorders>
              <w:top w:val="single" w:sz="4" w:space="0" w:color="auto"/>
              <w:left w:val="nil"/>
              <w:bottom w:val="single" w:sz="4" w:space="0" w:color="auto"/>
              <w:right w:val="single" w:sz="4" w:space="0" w:color="000000"/>
            </w:tcBorders>
            <w:shd w:val="clear" w:color="000000" w:fill="F8CBAD"/>
            <w:noWrap/>
            <w:vAlign w:val="bottom"/>
            <w:hideMark/>
          </w:tcPr>
          <w:p w14:paraId="1B345833" w14:textId="77777777" w:rsidR="00AA4C1B" w:rsidRPr="00AA4C1B" w:rsidRDefault="00AA4C1B" w:rsidP="00A123E2">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Total medications</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8CBAD"/>
            <w:vAlign w:val="bottom"/>
            <w:hideMark/>
          </w:tcPr>
          <w:p w14:paraId="42284BCF" w14:textId="77777777" w:rsidR="00AA4C1B" w:rsidRPr="00AA4C1B" w:rsidRDefault="00AA4C1B" w:rsidP="00A123E2">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Overlap between the two sets</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8CBAD"/>
            <w:vAlign w:val="bottom"/>
            <w:hideMark/>
          </w:tcPr>
          <w:p w14:paraId="1EF10F48" w14:textId="77777777" w:rsidR="00AA4C1B" w:rsidRPr="00AA4C1B" w:rsidRDefault="00AA4C1B" w:rsidP="00A123E2">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Value Set but not Rx Group</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8CBAD"/>
            <w:vAlign w:val="bottom"/>
            <w:hideMark/>
          </w:tcPr>
          <w:p w14:paraId="20E3F0C9" w14:textId="77777777" w:rsidR="00AA4C1B" w:rsidRPr="00AA4C1B" w:rsidRDefault="00AA4C1B" w:rsidP="00A123E2">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Rx Group but not Value Set</w:t>
            </w:r>
          </w:p>
        </w:tc>
      </w:tr>
      <w:tr w:rsidR="00AA4C1B" w:rsidRPr="00AA4C1B" w14:paraId="050BB9BA" w14:textId="77777777" w:rsidTr="00A123E2">
        <w:trPr>
          <w:trHeight w:val="300"/>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00DEE9DB" w14:textId="77777777" w:rsidR="00AA4C1B" w:rsidRPr="00AA4C1B" w:rsidRDefault="00AA4C1B" w:rsidP="00A123E2">
            <w:pPr>
              <w:spacing w:after="0" w:line="240" w:lineRule="auto"/>
              <w:rPr>
                <w:rFonts w:ascii="Calibri" w:eastAsia="Times New Roman" w:hAnsi="Calibri" w:cs="Calibri"/>
                <w:color w:val="000000"/>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02BE1F2C" w14:textId="77777777" w:rsidR="00AA4C1B" w:rsidRPr="00AA4C1B" w:rsidRDefault="00AA4C1B" w:rsidP="00A123E2">
            <w:pPr>
              <w:spacing w:after="0" w:line="240" w:lineRule="auto"/>
              <w:rPr>
                <w:rFonts w:ascii="Calibri" w:eastAsia="Times New Roman" w:hAnsi="Calibri" w:cs="Calibri"/>
                <w:color w:val="000000"/>
                <w:sz w:val="20"/>
                <w:szCs w:val="20"/>
              </w:rPr>
            </w:pPr>
          </w:p>
        </w:tc>
        <w:tc>
          <w:tcPr>
            <w:tcW w:w="900" w:type="dxa"/>
            <w:tcBorders>
              <w:top w:val="nil"/>
              <w:left w:val="nil"/>
              <w:bottom w:val="single" w:sz="4" w:space="0" w:color="auto"/>
              <w:right w:val="single" w:sz="4" w:space="0" w:color="auto"/>
            </w:tcBorders>
            <w:shd w:val="clear" w:color="000000" w:fill="F8CBAD"/>
            <w:noWrap/>
            <w:vAlign w:val="bottom"/>
            <w:hideMark/>
          </w:tcPr>
          <w:p w14:paraId="52BE9FB2" w14:textId="77777777" w:rsidR="00AA4C1B" w:rsidRPr="00AA4C1B" w:rsidRDefault="00AA4C1B" w:rsidP="00A123E2">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Value Sets</w:t>
            </w:r>
          </w:p>
        </w:tc>
        <w:tc>
          <w:tcPr>
            <w:tcW w:w="900" w:type="dxa"/>
            <w:tcBorders>
              <w:top w:val="nil"/>
              <w:left w:val="nil"/>
              <w:bottom w:val="single" w:sz="4" w:space="0" w:color="auto"/>
              <w:right w:val="single" w:sz="4" w:space="0" w:color="auto"/>
            </w:tcBorders>
            <w:shd w:val="clear" w:color="000000" w:fill="F8CBAD"/>
            <w:noWrap/>
            <w:vAlign w:val="bottom"/>
            <w:hideMark/>
          </w:tcPr>
          <w:p w14:paraId="7601444A" w14:textId="77777777" w:rsidR="00AA4C1B" w:rsidRPr="00AA4C1B" w:rsidRDefault="00AA4C1B" w:rsidP="00A123E2">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RX Groups</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29A5CD8F" w14:textId="77777777" w:rsidR="00AA4C1B" w:rsidRPr="00AA4C1B" w:rsidRDefault="00AA4C1B" w:rsidP="00A123E2">
            <w:pPr>
              <w:spacing w:after="0" w:line="240" w:lineRule="auto"/>
              <w:rPr>
                <w:rFonts w:ascii="Calibri" w:eastAsia="Times New Roman" w:hAnsi="Calibri" w:cs="Calibri"/>
                <w:color w:val="00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8CBB865" w14:textId="77777777" w:rsidR="00AA4C1B" w:rsidRPr="00AA4C1B" w:rsidRDefault="00AA4C1B" w:rsidP="00A123E2">
            <w:pPr>
              <w:spacing w:after="0" w:line="240" w:lineRule="auto"/>
              <w:rPr>
                <w:rFonts w:ascii="Calibri" w:eastAsia="Times New Roman" w:hAnsi="Calibri" w:cs="Calibri"/>
                <w:color w:val="00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A6DE58B" w14:textId="77777777" w:rsidR="00AA4C1B" w:rsidRPr="00AA4C1B" w:rsidRDefault="00AA4C1B" w:rsidP="00A123E2">
            <w:pPr>
              <w:spacing w:after="0" w:line="240" w:lineRule="auto"/>
              <w:rPr>
                <w:rFonts w:ascii="Calibri" w:eastAsia="Times New Roman" w:hAnsi="Calibri" w:cs="Calibri"/>
                <w:color w:val="000000"/>
                <w:sz w:val="20"/>
                <w:szCs w:val="20"/>
              </w:rPr>
            </w:pPr>
          </w:p>
        </w:tc>
      </w:tr>
      <w:tr w:rsidR="00AA4C1B" w:rsidRPr="00AA4C1B" w14:paraId="67B10ADE" w14:textId="77777777" w:rsidTr="00A123E2">
        <w:trPr>
          <w:trHeight w:val="300"/>
        </w:trPr>
        <w:tc>
          <w:tcPr>
            <w:tcW w:w="2245" w:type="dxa"/>
            <w:vMerge w:val="restart"/>
            <w:tcBorders>
              <w:top w:val="nil"/>
              <w:left w:val="single" w:sz="4" w:space="0" w:color="auto"/>
              <w:bottom w:val="single" w:sz="4" w:space="0" w:color="000000"/>
              <w:right w:val="single" w:sz="4" w:space="0" w:color="auto"/>
            </w:tcBorders>
            <w:shd w:val="clear" w:color="auto" w:fill="auto"/>
            <w:hideMark/>
          </w:tcPr>
          <w:p w14:paraId="2DE0B8D6" w14:textId="77777777"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Ischemic Vascular Disease (IVD): Use of Aspirin or Another Antiplatelet</w:t>
            </w:r>
          </w:p>
        </w:tc>
        <w:tc>
          <w:tcPr>
            <w:tcW w:w="1710" w:type="dxa"/>
            <w:tcBorders>
              <w:top w:val="nil"/>
              <w:left w:val="nil"/>
              <w:bottom w:val="single" w:sz="4" w:space="0" w:color="auto"/>
              <w:right w:val="single" w:sz="4" w:space="0" w:color="auto"/>
            </w:tcBorders>
            <w:shd w:val="clear" w:color="auto" w:fill="auto"/>
            <w:hideMark/>
          </w:tcPr>
          <w:p w14:paraId="211FC049" w14:textId="77777777"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Anticoagulant Medications</w:t>
            </w:r>
          </w:p>
        </w:tc>
        <w:tc>
          <w:tcPr>
            <w:tcW w:w="900" w:type="dxa"/>
            <w:tcBorders>
              <w:top w:val="nil"/>
              <w:left w:val="nil"/>
              <w:bottom w:val="single" w:sz="4" w:space="0" w:color="auto"/>
              <w:right w:val="single" w:sz="4" w:space="0" w:color="auto"/>
            </w:tcBorders>
            <w:shd w:val="clear" w:color="auto" w:fill="auto"/>
            <w:noWrap/>
            <w:hideMark/>
          </w:tcPr>
          <w:p w14:paraId="5A20827D" w14:textId="42A3F4F5"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24</w:t>
            </w:r>
          </w:p>
        </w:tc>
        <w:tc>
          <w:tcPr>
            <w:tcW w:w="900" w:type="dxa"/>
            <w:tcBorders>
              <w:top w:val="nil"/>
              <w:left w:val="nil"/>
              <w:bottom w:val="single" w:sz="4" w:space="0" w:color="auto"/>
              <w:right w:val="single" w:sz="4" w:space="0" w:color="auto"/>
            </w:tcBorders>
            <w:shd w:val="clear" w:color="auto" w:fill="auto"/>
            <w:noWrap/>
            <w:hideMark/>
          </w:tcPr>
          <w:p w14:paraId="2C3AEAAD" w14:textId="3E597794"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22</w:t>
            </w:r>
          </w:p>
        </w:tc>
        <w:tc>
          <w:tcPr>
            <w:tcW w:w="1260" w:type="dxa"/>
            <w:tcBorders>
              <w:top w:val="nil"/>
              <w:left w:val="nil"/>
              <w:bottom w:val="single" w:sz="4" w:space="0" w:color="auto"/>
              <w:right w:val="single" w:sz="4" w:space="0" w:color="auto"/>
            </w:tcBorders>
            <w:shd w:val="clear" w:color="auto" w:fill="auto"/>
            <w:noWrap/>
            <w:hideMark/>
          </w:tcPr>
          <w:p w14:paraId="6B49AC96" w14:textId="70AE2C42"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21</w:t>
            </w:r>
          </w:p>
        </w:tc>
        <w:tc>
          <w:tcPr>
            <w:tcW w:w="1260" w:type="dxa"/>
            <w:tcBorders>
              <w:top w:val="nil"/>
              <w:left w:val="nil"/>
              <w:bottom w:val="single" w:sz="4" w:space="0" w:color="auto"/>
              <w:right w:val="single" w:sz="4" w:space="0" w:color="auto"/>
            </w:tcBorders>
            <w:shd w:val="clear" w:color="auto" w:fill="auto"/>
            <w:noWrap/>
            <w:hideMark/>
          </w:tcPr>
          <w:p w14:paraId="046EEA1C" w14:textId="3A3CE4AF"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12.5%</w:t>
            </w:r>
          </w:p>
        </w:tc>
        <w:tc>
          <w:tcPr>
            <w:tcW w:w="1260" w:type="dxa"/>
            <w:tcBorders>
              <w:top w:val="nil"/>
              <w:left w:val="nil"/>
              <w:bottom w:val="single" w:sz="4" w:space="0" w:color="auto"/>
              <w:right w:val="single" w:sz="4" w:space="0" w:color="auto"/>
            </w:tcBorders>
            <w:shd w:val="clear" w:color="auto" w:fill="auto"/>
            <w:noWrap/>
            <w:hideMark/>
          </w:tcPr>
          <w:p w14:paraId="2E17F224" w14:textId="0F2F8017"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4.5%</w:t>
            </w:r>
          </w:p>
        </w:tc>
      </w:tr>
      <w:tr w:rsidR="00AA4C1B" w:rsidRPr="00AA4C1B" w14:paraId="2ACBAAA9" w14:textId="77777777" w:rsidTr="00A123E2">
        <w:trPr>
          <w:trHeight w:val="300"/>
        </w:trPr>
        <w:tc>
          <w:tcPr>
            <w:tcW w:w="2245" w:type="dxa"/>
            <w:vMerge/>
            <w:tcBorders>
              <w:top w:val="nil"/>
              <w:left w:val="single" w:sz="4" w:space="0" w:color="auto"/>
              <w:bottom w:val="single" w:sz="4" w:space="0" w:color="000000"/>
              <w:right w:val="single" w:sz="4" w:space="0" w:color="auto"/>
            </w:tcBorders>
            <w:vAlign w:val="center"/>
            <w:hideMark/>
          </w:tcPr>
          <w:p w14:paraId="0DFAE4E8" w14:textId="77777777" w:rsidR="00AA4C1B" w:rsidRPr="00AA4C1B" w:rsidRDefault="00AA4C1B" w:rsidP="00AA4C1B">
            <w:pPr>
              <w:spacing w:after="0" w:line="240" w:lineRule="auto"/>
              <w:rPr>
                <w:rFonts w:ascii="Calibri" w:eastAsia="Times New Roman" w:hAnsi="Calibri" w:cs="Calibri"/>
                <w:color w:val="000000"/>
                <w:sz w:val="20"/>
                <w:szCs w:val="20"/>
              </w:rPr>
            </w:pPr>
          </w:p>
        </w:tc>
        <w:tc>
          <w:tcPr>
            <w:tcW w:w="1710" w:type="dxa"/>
            <w:tcBorders>
              <w:top w:val="nil"/>
              <w:left w:val="nil"/>
              <w:bottom w:val="single" w:sz="4" w:space="0" w:color="auto"/>
              <w:right w:val="single" w:sz="4" w:space="0" w:color="auto"/>
            </w:tcBorders>
            <w:shd w:val="clear" w:color="auto" w:fill="auto"/>
            <w:hideMark/>
          </w:tcPr>
          <w:p w14:paraId="6D2C4E3A" w14:textId="77777777"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Aspirin and Other Antiplatelets</w:t>
            </w:r>
          </w:p>
        </w:tc>
        <w:tc>
          <w:tcPr>
            <w:tcW w:w="900" w:type="dxa"/>
            <w:tcBorders>
              <w:top w:val="nil"/>
              <w:left w:val="nil"/>
              <w:bottom w:val="single" w:sz="4" w:space="0" w:color="auto"/>
              <w:right w:val="single" w:sz="4" w:space="0" w:color="auto"/>
            </w:tcBorders>
            <w:shd w:val="clear" w:color="auto" w:fill="auto"/>
            <w:noWrap/>
            <w:hideMark/>
          </w:tcPr>
          <w:p w14:paraId="57C1FEE1" w14:textId="51D55F40"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62</w:t>
            </w:r>
          </w:p>
        </w:tc>
        <w:tc>
          <w:tcPr>
            <w:tcW w:w="900" w:type="dxa"/>
            <w:tcBorders>
              <w:top w:val="nil"/>
              <w:left w:val="nil"/>
              <w:bottom w:val="single" w:sz="4" w:space="0" w:color="auto"/>
              <w:right w:val="single" w:sz="4" w:space="0" w:color="auto"/>
            </w:tcBorders>
            <w:shd w:val="clear" w:color="auto" w:fill="auto"/>
            <w:noWrap/>
            <w:hideMark/>
          </w:tcPr>
          <w:p w14:paraId="485BE8A9" w14:textId="713D35CA"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61</w:t>
            </w:r>
          </w:p>
        </w:tc>
        <w:tc>
          <w:tcPr>
            <w:tcW w:w="1260" w:type="dxa"/>
            <w:tcBorders>
              <w:top w:val="nil"/>
              <w:left w:val="nil"/>
              <w:bottom w:val="single" w:sz="4" w:space="0" w:color="auto"/>
              <w:right w:val="single" w:sz="4" w:space="0" w:color="auto"/>
            </w:tcBorders>
            <w:shd w:val="clear" w:color="auto" w:fill="auto"/>
            <w:noWrap/>
            <w:hideMark/>
          </w:tcPr>
          <w:p w14:paraId="08F97CF4" w14:textId="09603BB9"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51</w:t>
            </w:r>
          </w:p>
        </w:tc>
        <w:tc>
          <w:tcPr>
            <w:tcW w:w="1260" w:type="dxa"/>
            <w:tcBorders>
              <w:top w:val="nil"/>
              <w:left w:val="nil"/>
              <w:bottom w:val="single" w:sz="4" w:space="0" w:color="auto"/>
              <w:right w:val="single" w:sz="4" w:space="0" w:color="auto"/>
            </w:tcBorders>
            <w:shd w:val="clear" w:color="auto" w:fill="auto"/>
            <w:noWrap/>
            <w:hideMark/>
          </w:tcPr>
          <w:p w14:paraId="663B6325" w14:textId="63E2126E"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17.7%</w:t>
            </w:r>
          </w:p>
        </w:tc>
        <w:tc>
          <w:tcPr>
            <w:tcW w:w="1260" w:type="dxa"/>
            <w:tcBorders>
              <w:top w:val="nil"/>
              <w:left w:val="nil"/>
              <w:bottom w:val="single" w:sz="4" w:space="0" w:color="auto"/>
              <w:right w:val="single" w:sz="4" w:space="0" w:color="auto"/>
            </w:tcBorders>
            <w:shd w:val="clear" w:color="auto" w:fill="auto"/>
            <w:noWrap/>
            <w:hideMark/>
          </w:tcPr>
          <w:p w14:paraId="0F577FBA" w14:textId="11ABA81B"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16.4%</w:t>
            </w:r>
          </w:p>
        </w:tc>
      </w:tr>
      <w:tr w:rsidR="00AA4C1B" w:rsidRPr="00AA4C1B" w14:paraId="7258AAF1" w14:textId="77777777" w:rsidTr="00A123E2">
        <w:trPr>
          <w:trHeight w:val="510"/>
        </w:trPr>
        <w:tc>
          <w:tcPr>
            <w:tcW w:w="2245" w:type="dxa"/>
            <w:tcBorders>
              <w:top w:val="nil"/>
              <w:left w:val="single" w:sz="4" w:space="0" w:color="auto"/>
              <w:bottom w:val="single" w:sz="4" w:space="0" w:color="auto"/>
              <w:right w:val="single" w:sz="4" w:space="0" w:color="auto"/>
            </w:tcBorders>
            <w:shd w:val="clear" w:color="auto" w:fill="auto"/>
            <w:hideMark/>
          </w:tcPr>
          <w:p w14:paraId="625ECFB0" w14:textId="77777777"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Screening for Depression and Follow-Up Plan</w:t>
            </w:r>
          </w:p>
        </w:tc>
        <w:tc>
          <w:tcPr>
            <w:tcW w:w="1710" w:type="dxa"/>
            <w:tcBorders>
              <w:top w:val="nil"/>
              <w:left w:val="nil"/>
              <w:bottom w:val="single" w:sz="4" w:space="0" w:color="auto"/>
              <w:right w:val="single" w:sz="4" w:space="0" w:color="auto"/>
            </w:tcBorders>
            <w:shd w:val="clear" w:color="auto" w:fill="auto"/>
            <w:hideMark/>
          </w:tcPr>
          <w:p w14:paraId="6A5278EA" w14:textId="77777777"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Depression medications</w:t>
            </w:r>
          </w:p>
        </w:tc>
        <w:tc>
          <w:tcPr>
            <w:tcW w:w="900" w:type="dxa"/>
            <w:tcBorders>
              <w:top w:val="nil"/>
              <w:left w:val="nil"/>
              <w:bottom w:val="single" w:sz="4" w:space="0" w:color="auto"/>
              <w:right w:val="single" w:sz="4" w:space="0" w:color="auto"/>
            </w:tcBorders>
            <w:shd w:val="clear" w:color="auto" w:fill="auto"/>
            <w:noWrap/>
            <w:hideMark/>
          </w:tcPr>
          <w:p w14:paraId="78F58B03" w14:textId="5E30DA62"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117</w:t>
            </w:r>
          </w:p>
        </w:tc>
        <w:tc>
          <w:tcPr>
            <w:tcW w:w="900" w:type="dxa"/>
            <w:tcBorders>
              <w:top w:val="nil"/>
              <w:left w:val="nil"/>
              <w:bottom w:val="single" w:sz="4" w:space="0" w:color="auto"/>
              <w:right w:val="single" w:sz="4" w:space="0" w:color="auto"/>
            </w:tcBorders>
            <w:shd w:val="clear" w:color="auto" w:fill="auto"/>
            <w:noWrap/>
            <w:hideMark/>
          </w:tcPr>
          <w:p w14:paraId="7EE2E267" w14:textId="35713ECF"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115</w:t>
            </w:r>
          </w:p>
        </w:tc>
        <w:tc>
          <w:tcPr>
            <w:tcW w:w="1260" w:type="dxa"/>
            <w:tcBorders>
              <w:top w:val="nil"/>
              <w:left w:val="nil"/>
              <w:bottom w:val="single" w:sz="4" w:space="0" w:color="auto"/>
              <w:right w:val="single" w:sz="4" w:space="0" w:color="auto"/>
            </w:tcBorders>
            <w:shd w:val="clear" w:color="auto" w:fill="auto"/>
            <w:noWrap/>
            <w:hideMark/>
          </w:tcPr>
          <w:p w14:paraId="61149469" w14:textId="4E8EB067"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91</w:t>
            </w:r>
          </w:p>
        </w:tc>
        <w:tc>
          <w:tcPr>
            <w:tcW w:w="1260" w:type="dxa"/>
            <w:tcBorders>
              <w:top w:val="nil"/>
              <w:left w:val="nil"/>
              <w:bottom w:val="single" w:sz="4" w:space="0" w:color="auto"/>
              <w:right w:val="single" w:sz="4" w:space="0" w:color="auto"/>
            </w:tcBorders>
            <w:shd w:val="clear" w:color="auto" w:fill="auto"/>
            <w:noWrap/>
            <w:hideMark/>
          </w:tcPr>
          <w:p w14:paraId="6D8E57E2" w14:textId="7B6DDEB1"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22.2%</w:t>
            </w:r>
          </w:p>
        </w:tc>
        <w:tc>
          <w:tcPr>
            <w:tcW w:w="1260" w:type="dxa"/>
            <w:tcBorders>
              <w:top w:val="nil"/>
              <w:left w:val="nil"/>
              <w:bottom w:val="single" w:sz="4" w:space="0" w:color="auto"/>
              <w:right w:val="single" w:sz="4" w:space="0" w:color="auto"/>
            </w:tcBorders>
            <w:shd w:val="clear" w:color="auto" w:fill="auto"/>
            <w:noWrap/>
            <w:hideMark/>
          </w:tcPr>
          <w:p w14:paraId="08CE6DD8" w14:textId="7C755A9B"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20.9%</w:t>
            </w:r>
          </w:p>
        </w:tc>
      </w:tr>
      <w:tr w:rsidR="00AA4C1B" w:rsidRPr="00AA4C1B" w14:paraId="5A560495" w14:textId="77777777" w:rsidTr="00A123E2">
        <w:trPr>
          <w:trHeight w:val="510"/>
        </w:trPr>
        <w:tc>
          <w:tcPr>
            <w:tcW w:w="2245" w:type="dxa"/>
            <w:tcBorders>
              <w:top w:val="nil"/>
              <w:left w:val="single" w:sz="4" w:space="0" w:color="auto"/>
              <w:bottom w:val="single" w:sz="4" w:space="0" w:color="auto"/>
              <w:right w:val="single" w:sz="4" w:space="0" w:color="auto"/>
            </w:tcBorders>
            <w:shd w:val="clear" w:color="auto" w:fill="auto"/>
            <w:hideMark/>
          </w:tcPr>
          <w:p w14:paraId="4EA2D796" w14:textId="77777777"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Statin Therapy for the Prevention and Treatment of Cardiovascular Disease</w:t>
            </w:r>
          </w:p>
        </w:tc>
        <w:tc>
          <w:tcPr>
            <w:tcW w:w="1710" w:type="dxa"/>
            <w:tcBorders>
              <w:top w:val="nil"/>
              <w:left w:val="nil"/>
              <w:bottom w:val="single" w:sz="4" w:space="0" w:color="auto"/>
              <w:right w:val="single" w:sz="4" w:space="0" w:color="auto"/>
            </w:tcBorders>
            <w:shd w:val="clear" w:color="auto" w:fill="auto"/>
            <w:hideMark/>
          </w:tcPr>
          <w:p w14:paraId="58356F08" w14:textId="77777777"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Statin therapy</w:t>
            </w:r>
          </w:p>
        </w:tc>
        <w:tc>
          <w:tcPr>
            <w:tcW w:w="900" w:type="dxa"/>
            <w:tcBorders>
              <w:top w:val="nil"/>
              <w:left w:val="nil"/>
              <w:bottom w:val="single" w:sz="4" w:space="0" w:color="auto"/>
              <w:right w:val="single" w:sz="4" w:space="0" w:color="auto"/>
            </w:tcBorders>
            <w:shd w:val="clear" w:color="auto" w:fill="auto"/>
            <w:noWrap/>
            <w:hideMark/>
          </w:tcPr>
          <w:p w14:paraId="14F16212" w14:textId="5AC5C08A"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25</w:t>
            </w:r>
          </w:p>
        </w:tc>
        <w:tc>
          <w:tcPr>
            <w:tcW w:w="900" w:type="dxa"/>
            <w:tcBorders>
              <w:top w:val="nil"/>
              <w:left w:val="nil"/>
              <w:bottom w:val="single" w:sz="4" w:space="0" w:color="auto"/>
              <w:right w:val="single" w:sz="4" w:space="0" w:color="auto"/>
            </w:tcBorders>
            <w:shd w:val="clear" w:color="auto" w:fill="auto"/>
            <w:noWrap/>
            <w:hideMark/>
          </w:tcPr>
          <w:p w14:paraId="0B4C100E" w14:textId="746B0D41"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25</w:t>
            </w:r>
          </w:p>
        </w:tc>
        <w:tc>
          <w:tcPr>
            <w:tcW w:w="1260" w:type="dxa"/>
            <w:tcBorders>
              <w:top w:val="nil"/>
              <w:left w:val="nil"/>
              <w:bottom w:val="single" w:sz="4" w:space="0" w:color="auto"/>
              <w:right w:val="single" w:sz="4" w:space="0" w:color="auto"/>
            </w:tcBorders>
            <w:shd w:val="clear" w:color="auto" w:fill="auto"/>
            <w:noWrap/>
            <w:hideMark/>
          </w:tcPr>
          <w:p w14:paraId="00108F74" w14:textId="76B2BB34"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25</w:t>
            </w:r>
          </w:p>
        </w:tc>
        <w:tc>
          <w:tcPr>
            <w:tcW w:w="1260" w:type="dxa"/>
            <w:tcBorders>
              <w:top w:val="nil"/>
              <w:left w:val="nil"/>
              <w:bottom w:val="single" w:sz="4" w:space="0" w:color="auto"/>
              <w:right w:val="single" w:sz="4" w:space="0" w:color="auto"/>
            </w:tcBorders>
            <w:shd w:val="clear" w:color="auto" w:fill="auto"/>
            <w:noWrap/>
            <w:hideMark/>
          </w:tcPr>
          <w:p w14:paraId="165C089F" w14:textId="31FBE9B6"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0.0%</w:t>
            </w:r>
          </w:p>
        </w:tc>
        <w:tc>
          <w:tcPr>
            <w:tcW w:w="1260" w:type="dxa"/>
            <w:tcBorders>
              <w:top w:val="nil"/>
              <w:left w:val="nil"/>
              <w:bottom w:val="single" w:sz="4" w:space="0" w:color="auto"/>
              <w:right w:val="single" w:sz="4" w:space="0" w:color="auto"/>
            </w:tcBorders>
            <w:shd w:val="clear" w:color="auto" w:fill="auto"/>
            <w:noWrap/>
            <w:hideMark/>
          </w:tcPr>
          <w:p w14:paraId="63C36712" w14:textId="7E7B592E"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0.0%</w:t>
            </w:r>
          </w:p>
        </w:tc>
      </w:tr>
      <w:tr w:rsidR="00AA4C1B" w:rsidRPr="00AA4C1B" w14:paraId="20581B79" w14:textId="77777777" w:rsidTr="00A123E2">
        <w:trPr>
          <w:trHeight w:val="510"/>
        </w:trPr>
        <w:tc>
          <w:tcPr>
            <w:tcW w:w="2245" w:type="dxa"/>
            <w:tcBorders>
              <w:top w:val="nil"/>
              <w:left w:val="single" w:sz="4" w:space="0" w:color="auto"/>
              <w:bottom w:val="single" w:sz="4" w:space="0" w:color="auto"/>
              <w:right w:val="single" w:sz="4" w:space="0" w:color="auto"/>
            </w:tcBorders>
            <w:shd w:val="clear" w:color="auto" w:fill="auto"/>
            <w:hideMark/>
          </w:tcPr>
          <w:p w14:paraId="30FAB719" w14:textId="77777777"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Tobacco Use Screening and Cessation Intervention</w:t>
            </w:r>
          </w:p>
        </w:tc>
        <w:tc>
          <w:tcPr>
            <w:tcW w:w="1710" w:type="dxa"/>
            <w:tcBorders>
              <w:top w:val="nil"/>
              <w:left w:val="nil"/>
              <w:bottom w:val="single" w:sz="4" w:space="0" w:color="auto"/>
              <w:right w:val="single" w:sz="4" w:space="0" w:color="auto"/>
            </w:tcBorders>
            <w:shd w:val="clear" w:color="auto" w:fill="auto"/>
            <w:hideMark/>
          </w:tcPr>
          <w:p w14:paraId="1D4F144C" w14:textId="77777777"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Tobacco Use Cessation Pharmacotherapy</w:t>
            </w:r>
          </w:p>
        </w:tc>
        <w:tc>
          <w:tcPr>
            <w:tcW w:w="900" w:type="dxa"/>
            <w:tcBorders>
              <w:top w:val="nil"/>
              <w:left w:val="nil"/>
              <w:bottom w:val="single" w:sz="4" w:space="0" w:color="auto"/>
              <w:right w:val="single" w:sz="4" w:space="0" w:color="auto"/>
            </w:tcBorders>
            <w:shd w:val="clear" w:color="auto" w:fill="auto"/>
            <w:noWrap/>
            <w:hideMark/>
          </w:tcPr>
          <w:p w14:paraId="7DCA75C2" w14:textId="2C50F1DD"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68</w:t>
            </w:r>
          </w:p>
        </w:tc>
        <w:tc>
          <w:tcPr>
            <w:tcW w:w="900" w:type="dxa"/>
            <w:tcBorders>
              <w:top w:val="nil"/>
              <w:left w:val="nil"/>
              <w:bottom w:val="single" w:sz="4" w:space="0" w:color="auto"/>
              <w:right w:val="single" w:sz="4" w:space="0" w:color="auto"/>
            </w:tcBorders>
            <w:shd w:val="clear" w:color="auto" w:fill="auto"/>
            <w:noWrap/>
            <w:hideMark/>
          </w:tcPr>
          <w:p w14:paraId="5B147E9F" w14:textId="2532464C"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45</w:t>
            </w:r>
          </w:p>
        </w:tc>
        <w:tc>
          <w:tcPr>
            <w:tcW w:w="1260" w:type="dxa"/>
            <w:tcBorders>
              <w:top w:val="nil"/>
              <w:left w:val="nil"/>
              <w:bottom w:val="single" w:sz="4" w:space="0" w:color="auto"/>
              <w:right w:val="single" w:sz="4" w:space="0" w:color="auto"/>
            </w:tcBorders>
            <w:shd w:val="clear" w:color="auto" w:fill="auto"/>
            <w:noWrap/>
            <w:hideMark/>
          </w:tcPr>
          <w:p w14:paraId="3C4A9060" w14:textId="15442D6E"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44</w:t>
            </w:r>
          </w:p>
        </w:tc>
        <w:tc>
          <w:tcPr>
            <w:tcW w:w="1260" w:type="dxa"/>
            <w:tcBorders>
              <w:top w:val="nil"/>
              <w:left w:val="nil"/>
              <w:bottom w:val="single" w:sz="4" w:space="0" w:color="auto"/>
              <w:right w:val="single" w:sz="4" w:space="0" w:color="auto"/>
            </w:tcBorders>
            <w:shd w:val="clear" w:color="auto" w:fill="auto"/>
            <w:noWrap/>
            <w:hideMark/>
          </w:tcPr>
          <w:p w14:paraId="13917AF6" w14:textId="66A28924"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35.3%</w:t>
            </w:r>
          </w:p>
        </w:tc>
        <w:tc>
          <w:tcPr>
            <w:tcW w:w="1260" w:type="dxa"/>
            <w:tcBorders>
              <w:top w:val="nil"/>
              <w:left w:val="nil"/>
              <w:bottom w:val="single" w:sz="4" w:space="0" w:color="auto"/>
              <w:right w:val="single" w:sz="4" w:space="0" w:color="auto"/>
            </w:tcBorders>
            <w:shd w:val="clear" w:color="auto" w:fill="auto"/>
            <w:noWrap/>
            <w:hideMark/>
          </w:tcPr>
          <w:p w14:paraId="4F26D8CD" w14:textId="72065D32"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2.2%</w:t>
            </w:r>
          </w:p>
        </w:tc>
      </w:tr>
      <w:tr w:rsidR="00AA4C1B" w:rsidRPr="00AA4C1B" w14:paraId="366B76A9" w14:textId="77777777" w:rsidTr="00C330D6">
        <w:trPr>
          <w:trHeight w:val="300"/>
        </w:trPr>
        <w:tc>
          <w:tcPr>
            <w:tcW w:w="2245" w:type="dxa"/>
            <w:tcBorders>
              <w:top w:val="nil"/>
              <w:left w:val="nil"/>
              <w:bottom w:val="nil"/>
              <w:right w:val="nil"/>
            </w:tcBorders>
            <w:shd w:val="clear" w:color="auto" w:fill="auto"/>
            <w:noWrap/>
            <w:vAlign w:val="bottom"/>
            <w:hideMark/>
          </w:tcPr>
          <w:p w14:paraId="6F22B31E" w14:textId="77777777" w:rsidR="00AA4C1B" w:rsidRPr="00AA4C1B" w:rsidRDefault="00AA4C1B" w:rsidP="00AA4C1B">
            <w:pPr>
              <w:spacing w:after="0" w:line="240" w:lineRule="auto"/>
              <w:jc w:val="center"/>
              <w:rPr>
                <w:rFonts w:ascii="Calibri" w:eastAsia="Times New Roman" w:hAnsi="Calibri" w:cs="Calibri"/>
                <w:color w:val="000000"/>
                <w:sz w:val="20"/>
                <w:szCs w:val="20"/>
              </w:rPr>
            </w:pPr>
          </w:p>
        </w:tc>
        <w:tc>
          <w:tcPr>
            <w:tcW w:w="1710" w:type="dxa"/>
            <w:tcBorders>
              <w:top w:val="nil"/>
              <w:left w:val="nil"/>
              <w:bottom w:val="nil"/>
              <w:right w:val="nil"/>
            </w:tcBorders>
            <w:shd w:val="clear" w:color="auto" w:fill="auto"/>
            <w:noWrap/>
            <w:vAlign w:val="bottom"/>
            <w:hideMark/>
          </w:tcPr>
          <w:p w14:paraId="213E6EA7" w14:textId="77777777" w:rsidR="00AA4C1B" w:rsidRPr="00AA4C1B" w:rsidRDefault="00AA4C1B" w:rsidP="00AA4C1B">
            <w:pPr>
              <w:spacing w:after="0" w:line="240" w:lineRule="auto"/>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hideMark/>
          </w:tcPr>
          <w:p w14:paraId="7327ADBE" w14:textId="16C0CBBB"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296</w:t>
            </w:r>
          </w:p>
        </w:tc>
        <w:tc>
          <w:tcPr>
            <w:tcW w:w="900" w:type="dxa"/>
            <w:tcBorders>
              <w:top w:val="nil"/>
              <w:left w:val="nil"/>
              <w:bottom w:val="nil"/>
              <w:right w:val="nil"/>
            </w:tcBorders>
            <w:shd w:val="clear" w:color="auto" w:fill="auto"/>
            <w:noWrap/>
            <w:hideMark/>
          </w:tcPr>
          <w:p w14:paraId="54415140" w14:textId="2B713345"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268</w:t>
            </w:r>
          </w:p>
        </w:tc>
        <w:tc>
          <w:tcPr>
            <w:tcW w:w="1260" w:type="dxa"/>
            <w:tcBorders>
              <w:top w:val="nil"/>
              <w:left w:val="nil"/>
              <w:bottom w:val="nil"/>
              <w:right w:val="nil"/>
            </w:tcBorders>
            <w:shd w:val="clear" w:color="auto" w:fill="auto"/>
            <w:noWrap/>
            <w:hideMark/>
          </w:tcPr>
          <w:p w14:paraId="68D6EE92" w14:textId="1A75C84F"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73.7%</w:t>
            </w:r>
          </w:p>
        </w:tc>
        <w:tc>
          <w:tcPr>
            <w:tcW w:w="1260" w:type="dxa"/>
            <w:tcBorders>
              <w:top w:val="nil"/>
              <w:left w:val="nil"/>
              <w:bottom w:val="nil"/>
              <w:right w:val="nil"/>
            </w:tcBorders>
            <w:shd w:val="clear" w:color="auto" w:fill="auto"/>
            <w:noWrap/>
            <w:hideMark/>
          </w:tcPr>
          <w:p w14:paraId="188B4D94" w14:textId="0A67FC5A"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21.6%</w:t>
            </w:r>
          </w:p>
        </w:tc>
        <w:tc>
          <w:tcPr>
            <w:tcW w:w="1260" w:type="dxa"/>
            <w:tcBorders>
              <w:top w:val="nil"/>
              <w:left w:val="nil"/>
              <w:bottom w:val="nil"/>
              <w:right w:val="nil"/>
            </w:tcBorders>
            <w:shd w:val="clear" w:color="auto" w:fill="auto"/>
            <w:noWrap/>
            <w:hideMark/>
          </w:tcPr>
          <w:p w14:paraId="332BE7E1" w14:textId="4AF4BAD4" w:rsidR="00AA4C1B" w:rsidRPr="00AA4C1B" w:rsidRDefault="00AA4C1B" w:rsidP="00AA4C1B">
            <w:pPr>
              <w:spacing w:after="0" w:line="240" w:lineRule="auto"/>
              <w:jc w:val="center"/>
              <w:rPr>
                <w:rFonts w:ascii="Calibri" w:eastAsia="Times New Roman" w:hAnsi="Calibri" w:cs="Calibri"/>
                <w:color w:val="000000"/>
                <w:sz w:val="20"/>
                <w:szCs w:val="20"/>
              </w:rPr>
            </w:pPr>
            <w:r w:rsidRPr="00337E33">
              <w:rPr>
                <w:sz w:val="20"/>
                <w:szCs w:val="20"/>
              </w:rPr>
              <w:t>13.4%</w:t>
            </w:r>
          </w:p>
        </w:tc>
      </w:tr>
    </w:tbl>
    <w:p w14:paraId="03DAE254" w14:textId="77777777" w:rsidR="00AA4C1B" w:rsidRDefault="00AA4C1B"/>
    <w:p w14:paraId="1E62C5DA" w14:textId="006F5DBB" w:rsidR="00AA4C1B" w:rsidRPr="004B0D4A" w:rsidRDefault="00337E33" w:rsidP="00AA4C1B">
      <w:pPr>
        <w:spacing w:after="0"/>
        <w:rPr>
          <w:i/>
          <w:iCs/>
        </w:rPr>
      </w:pPr>
      <w:r w:rsidRPr="004B0D4A">
        <w:rPr>
          <w:i/>
          <w:iCs/>
        </w:rPr>
        <w:t xml:space="preserve">Example of Medication </w:t>
      </w:r>
      <w:r w:rsidR="00AA4C1B" w:rsidRPr="004B0D4A">
        <w:rPr>
          <w:i/>
          <w:iCs/>
        </w:rPr>
        <w:t xml:space="preserve">Data </w:t>
      </w:r>
      <w:r w:rsidRPr="004B0D4A">
        <w:rPr>
          <w:i/>
          <w:iCs/>
        </w:rPr>
        <w:t>f</w:t>
      </w:r>
      <w:r w:rsidR="00AA4C1B" w:rsidRPr="004B0D4A">
        <w:rPr>
          <w:i/>
          <w:iCs/>
        </w:rPr>
        <w:t>rom Santa Rosa Community Health</w:t>
      </w:r>
    </w:p>
    <w:tbl>
      <w:tblPr>
        <w:tblW w:w="9535" w:type="dxa"/>
        <w:tblLook w:val="04A0" w:firstRow="1" w:lastRow="0" w:firstColumn="1" w:lastColumn="0" w:noHBand="0" w:noVBand="1"/>
      </w:tblPr>
      <w:tblGrid>
        <w:gridCol w:w="2245"/>
        <w:gridCol w:w="1710"/>
        <w:gridCol w:w="900"/>
        <w:gridCol w:w="900"/>
        <w:gridCol w:w="1260"/>
        <w:gridCol w:w="1260"/>
        <w:gridCol w:w="1260"/>
      </w:tblGrid>
      <w:tr w:rsidR="00AA4C1B" w:rsidRPr="00AA4C1B" w14:paraId="0327F8C1" w14:textId="77777777" w:rsidTr="00AA4C1B">
        <w:trPr>
          <w:trHeight w:val="300"/>
        </w:trPr>
        <w:tc>
          <w:tcPr>
            <w:tcW w:w="2245" w:type="dxa"/>
            <w:vMerge w:val="restart"/>
            <w:tcBorders>
              <w:top w:val="single" w:sz="4" w:space="0" w:color="auto"/>
              <w:left w:val="single" w:sz="4" w:space="0" w:color="auto"/>
              <w:bottom w:val="single" w:sz="4" w:space="0" w:color="auto"/>
              <w:right w:val="single" w:sz="4" w:space="0" w:color="auto"/>
            </w:tcBorders>
            <w:shd w:val="clear" w:color="000000" w:fill="F8CBAD"/>
            <w:vAlign w:val="bottom"/>
            <w:hideMark/>
          </w:tcPr>
          <w:p w14:paraId="1BE8F4C4" w14:textId="4B4CECD6" w:rsidR="00AA4C1B" w:rsidRDefault="00AA4C1B" w:rsidP="00AA4C1B">
            <w:pPr>
              <w:spacing w:after="0" w:line="240" w:lineRule="auto"/>
              <w:jc w:val="center"/>
              <w:rPr>
                <w:rFonts w:ascii="Calibri" w:eastAsia="Times New Roman" w:hAnsi="Calibri" w:cs="Calibri"/>
                <w:color w:val="000000"/>
                <w:sz w:val="20"/>
                <w:szCs w:val="20"/>
              </w:rPr>
            </w:pPr>
          </w:p>
          <w:p w14:paraId="6DFFA5AB" w14:textId="5302B721"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 xml:space="preserve">UDS measure </w:t>
            </w:r>
            <w:r>
              <w:rPr>
                <w:rFonts w:ascii="Calibri" w:eastAsia="Times New Roman" w:hAnsi="Calibri" w:cs="Calibri"/>
                <w:color w:val="000000"/>
                <w:sz w:val="20"/>
                <w:szCs w:val="20"/>
              </w:rPr>
              <w:t>QMs</w:t>
            </w:r>
          </w:p>
        </w:tc>
        <w:tc>
          <w:tcPr>
            <w:tcW w:w="1710" w:type="dxa"/>
            <w:vMerge w:val="restart"/>
            <w:tcBorders>
              <w:top w:val="single" w:sz="4" w:space="0" w:color="auto"/>
              <w:left w:val="single" w:sz="4" w:space="0" w:color="auto"/>
              <w:bottom w:val="single" w:sz="4" w:space="0" w:color="auto"/>
              <w:right w:val="single" w:sz="4" w:space="0" w:color="auto"/>
            </w:tcBorders>
            <w:shd w:val="clear" w:color="000000" w:fill="F8CBAD"/>
            <w:vAlign w:val="bottom"/>
            <w:hideMark/>
          </w:tcPr>
          <w:p w14:paraId="038392C0" w14:textId="77777777"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UDS value set names</w:t>
            </w:r>
          </w:p>
        </w:tc>
        <w:tc>
          <w:tcPr>
            <w:tcW w:w="1800" w:type="dxa"/>
            <w:gridSpan w:val="2"/>
            <w:tcBorders>
              <w:top w:val="single" w:sz="4" w:space="0" w:color="auto"/>
              <w:left w:val="nil"/>
              <w:bottom w:val="single" w:sz="4" w:space="0" w:color="auto"/>
              <w:right w:val="single" w:sz="4" w:space="0" w:color="000000"/>
            </w:tcBorders>
            <w:shd w:val="clear" w:color="000000" w:fill="F8CBAD"/>
            <w:noWrap/>
            <w:vAlign w:val="bottom"/>
            <w:hideMark/>
          </w:tcPr>
          <w:p w14:paraId="69A18C84" w14:textId="77777777"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Total medications</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8CBAD"/>
            <w:vAlign w:val="bottom"/>
            <w:hideMark/>
          </w:tcPr>
          <w:p w14:paraId="759889B4" w14:textId="77777777"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Overlap between the two sets</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8CBAD"/>
            <w:vAlign w:val="bottom"/>
            <w:hideMark/>
          </w:tcPr>
          <w:p w14:paraId="77E7B1DA" w14:textId="77777777"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Value Set but not Rx Group</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8CBAD"/>
            <w:vAlign w:val="bottom"/>
            <w:hideMark/>
          </w:tcPr>
          <w:p w14:paraId="0E9EF4F4" w14:textId="77777777"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Rx Group but not Value Set</w:t>
            </w:r>
          </w:p>
        </w:tc>
      </w:tr>
      <w:tr w:rsidR="00AA4C1B" w:rsidRPr="00AA4C1B" w14:paraId="5D9C9E30" w14:textId="77777777" w:rsidTr="00AA4C1B">
        <w:trPr>
          <w:trHeight w:val="300"/>
        </w:trPr>
        <w:tc>
          <w:tcPr>
            <w:tcW w:w="2245" w:type="dxa"/>
            <w:vMerge/>
            <w:tcBorders>
              <w:top w:val="single" w:sz="4" w:space="0" w:color="auto"/>
              <w:left w:val="single" w:sz="4" w:space="0" w:color="auto"/>
              <w:bottom w:val="single" w:sz="4" w:space="0" w:color="auto"/>
              <w:right w:val="single" w:sz="4" w:space="0" w:color="auto"/>
            </w:tcBorders>
            <w:vAlign w:val="center"/>
            <w:hideMark/>
          </w:tcPr>
          <w:p w14:paraId="2F7EBBDC" w14:textId="77777777" w:rsidR="00AA4C1B" w:rsidRPr="00AA4C1B" w:rsidRDefault="00AA4C1B" w:rsidP="00AA4C1B">
            <w:pPr>
              <w:spacing w:after="0" w:line="240" w:lineRule="auto"/>
              <w:rPr>
                <w:rFonts w:ascii="Calibri" w:eastAsia="Times New Roman" w:hAnsi="Calibri" w:cs="Calibri"/>
                <w:color w:val="000000"/>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14:paraId="2BF9C629" w14:textId="77777777" w:rsidR="00AA4C1B" w:rsidRPr="00AA4C1B" w:rsidRDefault="00AA4C1B" w:rsidP="00AA4C1B">
            <w:pPr>
              <w:spacing w:after="0" w:line="240" w:lineRule="auto"/>
              <w:rPr>
                <w:rFonts w:ascii="Calibri" w:eastAsia="Times New Roman" w:hAnsi="Calibri" w:cs="Calibri"/>
                <w:color w:val="000000"/>
                <w:sz w:val="20"/>
                <w:szCs w:val="20"/>
              </w:rPr>
            </w:pPr>
          </w:p>
        </w:tc>
        <w:tc>
          <w:tcPr>
            <w:tcW w:w="900" w:type="dxa"/>
            <w:tcBorders>
              <w:top w:val="nil"/>
              <w:left w:val="nil"/>
              <w:bottom w:val="single" w:sz="4" w:space="0" w:color="auto"/>
              <w:right w:val="single" w:sz="4" w:space="0" w:color="auto"/>
            </w:tcBorders>
            <w:shd w:val="clear" w:color="000000" w:fill="F8CBAD"/>
            <w:noWrap/>
            <w:vAlign w:val="bottom"/>
            <w:hideMark/>
          </w:tcPr>
          <w:p w14:paraId="2833D834" w14:textId="77777777"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Value Sets</w:t>
            </w:r>
          </w:p>
        </w:tc>
        <w:tc>
          <w:tcPr>
            <w:tcW w:w="900" w:type="dxa"/>
            <w:tcBorders>
              <w:top w:val="nil"/>
              <w:left w:val="nil"/>
              <w:bottom w:val="single" w:sz="4" w:space="0" w:color="auto"/>
              <w:right w:val="single" w:sz="4" w:space="0" w:color="auto"/>
            </w:tcBorders>
            <w:shd w:val="clear" w:color="000000" w:fill="F8CBAD"/>
            <w:noWrap/>
            <w:vAlign w:val="bottom"/>
            <w:hideMark/>
          </w:tcPr>
          <w:p w14:paraId="67FA1D67" w14:textId="77777777" w:rsidR="00AA4C1B" w:rsidRPr="00AA4C1B" w:rsidRDefault="00AA4C1B" w:rsidP="00AA4C1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RX Groups</w:t>
            </w: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0146E272" w14:textId="77777777" w:rsidR="00AA4C1B" w:rsidRPr="00AA4C1B" w:rsidRDefault="00AA4C1B" w:rsidP="00AA4C1B">
            <w:pPr>
              <w:spacing w:after="0" w:line="240" w:lineRule="auto"/>
              <w:rPr>
                <w:rFonts w:ascii="Calibri" w:eastAsia="Times New Roman" w:hAnsi="Calibri" w:cs="Calibri"/>
                <w:color w:val="00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769E3B8" w14:textId="77777777" w:rsidR="00AA4C1B" w:rsidRPr="00AA4C1B" w:rsidRDefault="00AA4C1B" w:rsidP="00AA4C1B">
            <w:pPr>
              <w:spacing w:after="0" w:line="240" w:lineRule="auto"/>
              <w:rPr>
                <w:rFonts w:ascii="Calibri" w:eastAsia="Times New Roman" w:hAnsi="Calibri" w:cs="Calibri"/>
                <w:color w:val="00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5451B514" w14:textId="77777777" w:rsidR="00AA4C1B" w:rsidRPr="00AA4C1B" w:rsidRDefault="00AA4C1B" w:rsidP="00AA4C1B">
            <w:pPr>
              <w:spacing w:after="0" w:line="240" w:lineRule="auto"/>
              <w:rPr>
                <w:rFonts w:ascii="Calibri" w:eastAsia="Times New Roman" w:hAnsi="Calibri" w:cs="Calibri"/>
                <w:color w:val="000000"/>
                <w:sz w:val="20"/>
                <w:szCs w:val="20"/>
              </w:rPr>
            </w:pPr>
          </w:p>
        </w:tc>
      </w:tr>
      <w:tr w:rsidR="000279AB" w:rsidRPr="00AA4C1B" w14:paraId="12308CEE" w14:textId="77777777" w:rsidTr="000279AB">
        <w:trPr>
          <w:trHeight w:val="300"/>
        </w:trPr>
        <w:tc>
          <w:tcPr>
            <w:tcW w:w="2245" w:type="dxa"/>
            <w:vMerge w:val="restart"/>
            <w:tcBorders>
              <w:top w:val="nil"/>
              <w:left w:val="single" w:sz="4" w:space="0" w:color="auto"/>
              <w:bottom w:val="single" w:sz="4" w:space="0" w:color="000000"/>
              <w:right w:val="single" w:sz="4" w:space="0" w:color="auto"/>
            </w:tcBorders>
            <w:shd w:val="clear" w:color="auto" w:fill="auto"/>
            <w:hideMark/>
          </w:tcPr>
          <w:p w14:paraId="5C6D7865" w14:textId="77777777" w:rsidR="000279AB" w:rsidRPr="00AA4C1B" w:rsidRDefault="000279AB" w:rsidP="000279A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Ischemic Vascular Disease (IVD): Use of Aspirin or Another Antiplatelet</w:t>
            </w:r>
          </w:p>
        </w:tc>
        <w:tc>
          <w:tcPr>
            <w:tcW w:w="1710" w:type="dxa"/>
            <w:tcBorders>
              <w:top w:val="nil"/>
              <w:left w:val="nil"/>
              <w:bottom w:val="single" w:sz="4" w:space="0" w:color="auto"/>
              <w:right w:val="single" w:sz="4" w:space="0" w:color="auto"/>
            </w:tcBorders>
            <w:shd w:val="clear" w:color="auto" w:fill="auto"/>
            <w:hideMark/>
          </w:tcPr>
          <w:p w14:paraId="6EB0962D" w14:textId="77777777" w:rsidR="000279AB" w:rsidRPr="00AA4C1B" w:rsidRDefault="000279AB" w:rsidP="000279A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Anticoagulant Medications</w:t>
            </w:r>
          </w:p>
        </w:tc>
        <w:tc>
          <w:tcPr>
            <w:tcW w:w="900" w:type="dxa"/>
            <w:tcBorders>
              <w:top w:val="nil"/>
              <w:left w:val="nil"/>
              <w:bottom w:val="single" w:sz="4" w:space="0" w:color="auto"/>
              <w:right w:val="single" w:sz="4" w:space="0" w:color="auto"/>
            </w:tcBorders>
            <w:shd w:val="clear" w:color="auto" w:fill="auto"/>
            <w:noWrap/>
            <w:hideMark/>
          </w:tcPr>
          <w:p w14:paraId="077E343D" w14:textId="4CD2E51D"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24</w:t>
            </w:r>
          </w:p>
        </w:tc>
        <w:tc>
          <w:tcPr>
            <w:tcW w:w="900" w:type="dxa"/>
            <w:tcBorders>
              <w:top w:val="nil"/>
              <w:left w:val="nil"/>
              <w:bottom w:val="single" w:sz="4" w:space="0" w:color="auto"/>
              <w:right w:val="single" w:sz="4" w:space="0" w:color="auto"/>
            </w:tcBorders>
            <w:shd w:val="clear" w:color="auto" w:fill="auto"/>
            <w:noWrap/>
            <w:hideMark/>
          </w:tcPr>
          <w:p w14:paraId="0FA6AD41" w14:textId="5BCC5E4C"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16</w:t>
            </w:r>
          </w:p>
        </w:tc>
        <w:tc>
          <w:tcPr>
            <w:tcW w:w="1260" w:type="dxa"/>
            <w:tcBorders>
              <w:top w:val="nil"/>
              <w:left w:val="nil"/>
              <w:bottom w:val="single" w:sz="4" w:space="0" w:color="auto"/>
              <w:right w:val="single" w:sz="4" w:space="0" w:color="auto"/>
            </w:tcBorders>
            <w:shd w:val="clear" w:color="auto" w:fill="auto"/>
            <w:noWrap/>
            <w:hideMark/>
          </w:tcPr>
          <w:p w14:paraId="085146B9" w14:textId="2614BF13"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16</w:t>
            </w:r>
          </w:p>
        </w:tc>
        <w:tc>
          <w:tcPr>
            <w:tcW w:w="1260" w:type="dxa"/>
            <w:tcBorders>
              <w:top w:val="nil"/>
              <w:left w:val="nil"/>
              <w:bottom w:val="single" w:sz="4" w:space="0" w:color="auto"/>
              <w:right w:val="single" w:sz="4" w:space="0" w:color="auto"/>
            </w:tcBorders>
            <w:shd w:val="clear" w:color="auto" w:fill="auto"/>
            <w:noWrap/>
            <w:hideMark/>
          </w:tcPr>
          <w:p w14:paraId="3112CBD9" w14:textId="7C428F71"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33.3%</w:t>
            </w:r>
          </w:p>
        </w:tc>
        <w:tc>
          <w:tcPr>
            <w:tcW w:w="1260" w:type="dxa"/>
            <w:tcBorders>
              <w:top w:val="nil"/>
              <w:left w:val="nil"/>
              <w:bottom w:val="single" w:sz="4" w:space="0" w:color="auto"/>
              <w:right w:val="single" w:sz="4" w:space="0" w:color="auto"/>
            </w:tcBorders>
            <w:shd w:val="clear" w:color="auto" w:fill="auto"/>
            <w:noWrap/>
            <w:hideMark/>
          </w:tcPr>
          <w:p w14:paraId="392316DA" w14:textId="4BDE026E"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0.0%</w:t>
            </w:r>
          </w:p>
        </w:tc>
      </w:tr>
      <w:tr w:rsidR="000279AB" w:rsidRPr="00AA4C1B" w14:paraId="4A90450C" w14:textId="77777777" w:rsidTr="000279AB">
        <w:trPr>
          <w:trHeight w:val="300"/>
        </w:trPr>
        <w:tc>
          <w:tcPr>
            <w:tcW w:w="2245" w:type="dxa"/>
            <w:vMerge/>
            <w:tcBorders>
              <w:top w:val="nil"/>
              <w:left w:val="single" w:sz="4" w:space="0" w:color="auto"/>
              <w:bottom w:val="single" w:sz="4" w:space="0" w:color="000000"/>
              <w:right w:val="single" w:sz="4" w:space="0" w:color="auto"/>
            </w:tcBorders>
            <w:vAlign w:val="center"/>
            <w:hideMark/>
          </w:tcPr>
          <w:p w14:paraId="6B9B30DE" w14:textId="77777777" w:rsidR="000279AB" w:rsidRPr="00AA4C1B" w:rsidRDefault="000279AB" w:rsidP="000279AB">
            <w:pPr>
              <w:spacing w:after="0" w:line="240" w:lineRule="auto"/>
              <w:rPr>
                <w:rFonts w:ascii="Calibri" w:eastAsia="Times New Roman" w:hAnsi="Calibri" w:cs="Calibri"/>
                <w:color w:val="000000"/>
                <w:sz w:val="20"/>
                <w:szCs w:val="20"/>
              </w:rPr>
            </w:pPr>
          </w:p>
        </w:tc>
        <w:tc>
          <w:tcPr>
            <w:tcW w:w="1710" w:type="dxa"/>
            <w:tcBorders>
              <w:top w:val="nil"/>
              <w:left w:val="nil"/>
              <w:bottom w:val="single" w:sz="4" w:space="0" w:color="auto"/>
              <w:right w:val="single" w:sz="4" w:space="0" w:color="auto"/>
            </w:tcBorders>
            <w:shd w:val="clear" w:color="auto" w:fill="auto"/>
            <w:hideMark/>
          </w:tcPr>
          <w:p w14:paraId="3BAEAD82" w14:textId="77777777" w:rsidR="000279AB" w:rsidRPr="00AA4C1B" w:rsidRDefault="000279AB" w:rsidP="000279A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Aspirin and Other Antiplatelets</w:t>
            </w:r>
          </w:p>
        </w:tc>
        <w:tc>
          <w:tcPr>
            <w:tcW w:w="900" w:type="dxa"/>
            <w:tcBorders>
              <w:top w:val="nil"/>
              <w:left w:val="nil"/>
              <w:bottom w:val="single" w:sz="4" w:space="0" w:color="auto"/>
              <w:right w:val="single" w:sz="4" w:space="0" w:color="auto"/>
            </w:tcBorders>
            <w:shd w:val="clear" w:color="auto" w:fill="auto"/>
            <w:noWrap/>
            <w:hideMark/>
          </w:tcPr>
          <w:p w14:paraId="37432D9E" w14:textId="47ED099E"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84</w:t>
            </w:r>
          </w:p>
        </w:tc>
        <w:tc>
          <w:tcPr>
            <w:tcW w:w="900" w:type="dxa"/>
            <w:tcBorders>
              <w:top w:val="nil"/>
              <w:left w:val="nil"/>
              <w:bottom w:val="single" w:sz="4" w:space="0" w:color="auto"/>
              <w:right w:val="single" w:sz="4" w:space="0" w:color="auto"/>
            </w:tcBorders>
            <w:shd w:val="clear" w:color="auto" w:fill="auto"/>
            <w:noWrap/>
            <w:hideMark/>
          </w:tcPr>
          <w:p w14:paraId="2739D4A0" w14:textId="11D0013A"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89</w:t>
            </w:r>
          </w:p>
        </w:tc>
        <w:tc>
          <w:tcPr>
            <w:tcW w:w="1260" w:type="dxa"/>
            <w:tcBorders>
              <w:top w:val="nil"/>
              <w:left w:val="nil"/>
              <w:bottom w:val="single" w:sz="4" w:space="0" w:color="auto"/>
              <w:right w:val="single" w:sz="4" w:space="0" w:color="auto"/>
            </w:tcBorders>
            <w:shd w:val="clear" w:color="auto" w:fill="auto"/>
            <w:noWrap/>
            <w:hideMark/>
          </w:tcPr>
          <w:p w14:paraId="709EC9E0" w14:textId="697F7888"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75</w:t>
            </w:r>
          </w:p>
        </w:tc>
        <w:tc>
          <w:tcPr>
            <w:tcW w:w="1260" w:type="dxa"/>
            <w:tcBorders>
              <w:top w:val="nil"/>
              <w:left w:val="nil"/>
              <w:bottom w:val="single" w:sz="4" w:space="0" w:color="auto"/>
              <w:right w:val="single" w:sz="4" w:space="0" w:color="auto"/>
            </w:tcBorders>
            <w:shd w:val="clear" w:color="auto" w:fill="auto"/>
            <w:noWrap/>
            <w:hideMark/>
          </w:tcPr>
          <w:p w14:paraId="16B388B8" w14:textId="6032CB8E"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10.7%</w:t>
            </w:r>
          </w:p>
        </w:tc>
        <w:tc>
          <w:tcPr>
            <w:tcW w:w="1260" w:type="dxa"/>
            <w:tcBorders>
              <w:top w:val="nil"/>
              <w:left w:val="nil"/>
              <w:bottom w:val="single" w:sz="4" w:space="0" w:color="auto"/>
              <w:right w:val="single" w:sz="4" w:space="0" w:color="auto"/>
            </w:tcBorders>
            <w:shd w:val="clear" w:color="auto" w:fill="auto"/>
            <w:noWrap/>
            <w:hideMark/>
          </w:tcPr>
          <w:p w14:paraId="0090B584" w14:textId="048B42E0"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15.7%</w:t>
            </w:r>
          </w:p>
        </w:tc>
      </w:tr>
      <w:tr w:rsidR="000279AB" w:rsidRPr="00AA4C1B" w14:paraId="4CB0623B" w14:textId="77777777" w:rsidTr="000279AB">
        <w:trPr>
          <w:trHeight w:val="510"/>
        </w:trPr>
        <w:tc>
          <w:tcPr>
            <w:tcW w:w="2245" w:type="dxa"/>
            <w:tcBorders>
              <w:top w:val="nil"/>
              <w:left w:val="single" w:sz="4" w:space="0" w:color="auto"/>
              <w:bottom w:val="single" w:sz="4" w:space="0" w:color="auto"/>
              <w:right w:val="single" w:sz="4" w:space="0" w:color="auto"/>
            </w:tcBorders>
            <w:shd w:val="clear" w:color="auto" w:fill="auto"/>
            <w:hideMark/>
          </w:tcPr>
          <w:p w14:paraId="1BB5AAC4" w14:textId="77777777" w:rsidR="000279AB" w:rsidRPr="00AA4C1B" w:rsidRDefault="000279AB" w:rsidP="000279A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Screening for Depression and Follow-Up Plan</w:t>
            </w:r>
          </w:p>
        </w:tc>
        <w:tc>
          <w:tcPr>
            <w:tcW w:w="1710" w:type="dxa"/>
            <w:tcBorders>
              <w:top w:val="nil"/>
              <w:left w:val="nil"/>
              <w:bottom w:val="single" w:sz="4" w:space="0" w:color="auto"/>
              <w:right w:val="single" w:sz="4" w:space="0" w:color="auto"/>
            </w:tcBorders>
            <w:shd w:val="clear" w:color="auto" w:fill="auto"/>
            <w:hideMark/>
          </w:tcPr>
          <w:p w14:paraId="2364D222" w14:textId="77777777" w:rsidR="000279AB" w:rsidRPr="00AA4C1B" w:rsidRDefault="000279AB" w:rsidP="000279A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Depression medications</w:t>
            </w:r>
          </w:p>
        </w:tc>
        <w:tc>
          <w:tcPr>
            <w:tcW w:w="900" w:type="dxa"/>
            <w:tcBorders>
              <w:top w:val="nil"/>
              <w:left w:val="nil"/>
              <w:bottom w:val="single" w:sz="4" w:space="0" w:color="auto"/>
              <w:right w:val="single" w:sz="4" w:space="0" w:color="auto"/>
            </w:tcBorders>
            <w:shd w:val="clear" w:color="auto" w:fill="auto"/>
            <w:noWrap/>
            <w:hideMark/>
          </w:tcPr>
          <w:p w14:paraId="6DDE2D47" w14:textId="7A136C9F"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129</w:t>
            </w:r>
          </w:p>
        </w:tc>
        <w:tc>
          <w:tcPr>
            <w:tcW w:w="900" w:type="dxa"/>
            <w:tcBorders>
              <w:top w:val="nil"/>
              <w:left w:val="nil"/>
              <w:bottom w:val="single" w:sz="4" w:space="0" w:color="auto"/>
              <w:right w:val="single" w:sz="4" w:space="0" w:color="auto"/>
            </w:tcBorders>
            <w:shd w:val="clear" w:color="auto" w:fill="auto"/>
            <w:noWrap/>
            <w:hideMark/>
          </w:tcPr>
          <w:p w14:paraId="7F7BEF34" w14:textId="3017688D"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136</w:t>
            </w:r>
          </w:p>
        </w:tc>
        <w:tc>
          <w:tcPr>
            <w:tcW w:w="1260" w:type="dxa"/>
            <w:tcBorders>
              <w:top w:val="nil"/>
              <w:left w:val="nil"/>
              <w:bottom w:val="single" w:sz="4" w:space="0" w:color="auto"/>
              <w:right w:val="single" w:sz="4" w:space="0" w:color="auto"/>
            </w:tcBorders>
            <w:shd w:val="clear" w:color="auto" w:fill="auto"/>
            <w:noWrap/>
            <w:hideMark/>
          </w:tcPr>
          <w:p w14:paraId="5094AC2E" w14:textId="22BB3B08"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107</w:t>
            </w:r>
          </w:p>
        </w:tc>
        <w:tc>
          <w:tcPr>
            <w:tcW w:w="1260" w:type="dxa"/>
            <w:tcBorders>
              <w:top w:val="nil"/>
              <w:left w:val="nil"/>
              <w:bottom w:val="single" w:sz="4" w:space="0" w:color="auto"/>
              <w:right w:val="single" w:sz="4" w:space="0" w:color="auto"/>
            </w:tcBorders>
            <w:shd w:val="clear" w:color="auto" w:fill="auto"/>
            <w:noWrap/>
            <w:hideMark/>
          </w:tcPr>
          <w:p w14:paraId="729E3826" w14:textId="06352740"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17.1%</w:t>
            </w:r>
          </w:p>
        </w:tc>
        <w:tc>
          <w:tcPr>
            <w:tcW w:w="1260" w:type="dxa"/>
            <w:tcBorders>
              <w:top w:val="nil"/>
              <w:left w:val="nil"/>
              <w:bottom w:val="single" w:sz="4" w:space="0" w:color="auto"/>
              <w:right w:val="single" w:sz="4" w:space="0" w:color="auto"/>
            </w:tcBorders>
            <w:shd w:val="clear" w:color="auto" w:fill="auto"/>
            <w:noWrap/>
            <w:hideMark/>
          </w:tcPr>
          <w:p w14:paraId="3ADD0909" w14:textId="751AF0E4"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21.3%</w:t>
            </w:r>
          </w:p>
        </w:tc>
      </w:tr>
      <w:tr w:rsidR="000279AB" w:rsidRPr="00AA4C1B" w14:paraId="6A23D111" w14:textId="77777777" w:rsidTr="000279AB">
        <w:trPr>
          <w:trHeight w:val="510"/>
        </w:trPr>
        <w:tc>
          <w:tcPr>
            <w:tcW w:w="2245" w:type="dxa"/>
            <w:tcBorders>
              <w:top w:val="nil"/>
              <w:left w:val="single" w:sz="4" w:space="0" w:color="auto"/>
              <w:bottom w:val="single" w:sz="4" w:space="0" w:color="auto"/>
              <w:right w:val="single" w:sz="4" w:space="0" w:color="auto"/>
            </w:tcBorders>
            <w:shd w:val="clear" w:color="auto" w:fill="auto"/>
            <w:hideMark/>
          </w:tcPr>
          <w:p w14:paraId="25B5419C" w14:textId="77777777" w:rsidR="000279AB" w:rsidRPr="00AA4C1B" w:rsidRDefault="000279AB" w:rsidP="000279A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Statin Therapy for the Prevention and Treatment of Cardiovascular Disease</w:t>
            </w:r>
          </w:p>
        </w:tc>
        <w:tc>
          <w:tcPr>
            <w:tcW w:w="1710" w:type="dxa"/>
            <w:tcBorders>
              <w:top w:val="nil"/>
              <w:left w:val="nil"/>
              <w:bottom w:val="single" w:sz="4" w:space="0" w:color="auto"/>
              <w:right w:val="single" w:sz="4" w:space="0" w:color="auto"/>
            </w:tcBorders>
            <w:shd w:val="clear" w:color="auto" w:fill="auto"/>
            <w:hideMark/>
          </w:tcPr>
          <w:p w14:paraId="35A2BEC9" w14:textId="77777777" w:rsidR="000279AB" w:rsidRPr="00AA4C1B" w:rsidRDefault="000279AB" w:rsidP="000279A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Statin therapy</w:t>
            </w:r>
          </w:p>
        </w:tc>
        <w:tc>
          <w:tcPr>
            <w:tcW w:w="900" w:type="dxa"/>
            <w:tcBorders>
              <w:top w:val="nil"/>
              <w:left w:val="nil"/>
              <w:bottom w:val="single" w:sz="4" w:space="0" w:color="auto"/>
              <w:right w:val="single" w:sz="4" w:space="0" w:color="auto"/>
            </w:tcBorders>
            <w:shd w:val="clear" w:color="auto" w:fill="auto"/>
            <w:noWrap/>
            <w:hideMark/>
          </w:tcPr>
          <w:p w14:paraId="3F7DF8F1" w14:textId="5DBB982D"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31</w:t>
            </w:r>
          </w:p>
        </w:tc>
        <w:tc>
          <w:tcPr>
            <w:tcW w:w="900" w:type="dxa"/>
            <w:tcBorders>
              <w:top w:val="nil"/>
              <w:left w:val="nil"/>
              <w:bottom w:val="single" w:sz="4" w:space="0" w:color="auto"/>
              <w:right w:val="single" w:sz="4" w:space="0" w:color="auto"/>
            </w:tcBorders>
            <w:shd w:val="clear" w:color="auto" w:fill="auto"/>
            <w:noWrap/>
            <w:hideMark/>
          </w:tcPr>
          <w:p w14:paraId="5EC3F9CF" w14:textId="5B80995F"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39</w:t>
            </w:r>
          </w:p>
        </w:tc>
        <w:tc>
          <w:tcPr>
            <w:tcW w:w="1260" w:type="dxa"/>
            <w:tcBorders>
              <w:top w:val="nil"/>
              <w:left w:val="nil"/>
              <w:bottom w:val="single" w:sz="4" w:space="0" w:color="auto"/>
              <w:right w:val="single" w:sz="4" w:space="0" w:color="auto"/>
            </w:tcBorders>
            <w:shd w:val="clear" w:color="auto" w:fill="auto"/>
            <w:noWrap/>
            <w:hideMark/>
          </w:tcPr>
          <w:p w14:paraId="1F536640" w14:textId="6CA6305A"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31</w:t>
            </w:r>
          </w:p>
        </w:tc>
        <w:tc>
          <w:tcPr>
            <w:tcW w:w="1260" w:type="dxa"/>
            <w:tcBorders>
              <w:top w:val="nil"/>
              <w:left w:val="nil"/>
              <w:bottom w:val="single" w:sz="4" w:space="0" w:color="auto"/>
              <w:right w:val="single" w:sz="4" w:space="0" w:color="auto"/>
            </w:tcBorders>
            <w:shd w:val="clear" w:color="auto" w:fill="auto"/>
            <w:noWrap/>
            <w:hideMark/>
          </w:tcPr>
          <w:p w14:paraId="5D8655E1" w14:textId="2D483D2C"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0.0%</w:t>
            </w:r>
          </w:p>
        </w:tc>
        <w:tc>
          <w:tcPr>
            <w:tcW w:w="1260" w:type="dxa"/>
            <w:tcBorders>
              <w:top w:val="nil"/>
              <w:left w:val="nil"/>
              <w:bottom w:val="single" w:sz="4" w:space="0" w:color="auto"/>
              <w:right w:val="single" w:sz="4" w:space="0" w:color="auto"/>
            </w:tcBorders>
            <w:shd w:val="clear" w:color="auto" w:fill="auto"/>
            <w:noWrap/>
            <w:hideMark/>
          </w:tcPr>
          <w:p w14:paraId="05996E29" w14:textId="37539E64"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20.5%</w:t>
            </w:r>
          </w:p>
        </w:tc>
      </w:tr>
      <w:tr w:rsidR="000279AB" w:rsidRPr="00AA4C1B" w14:paraId="628BAD1F" w14:textId="77777777" w:rsidTr="000279AB">
        <w:trPr>
          <w:trHeight w:val="510"/>
        </w:trPr>
        <w:tc>
          <w:tcPr>
            <w:tcW w:w="2245" w:type="dxa"/>
            <w:tcBorders>
              <w:top w:val="nil"/>
              <w:left w:val="single" w:sz="4" w:space="0" w:color="auto"/>
              <w:bottom w:val="single" w:sz="4" w:space="0" w:color="auto"/>
              <w:right w:val="single" w:sz="4" w:space="0" w:color="auto"/>
            </w:tcBorders>
            <w:shd w:val="clear" w:color="auto" w:fill="auto"/>
            <w:hideMark/>
          </w:tcPr>
          <w:p w14:paraId="7B185F86" w14:textId="77777777" w:rsidR="000279AB" w:rsidRPr="00AA4C1B" w:rsidRDefault="000279AB" w:rsidP="000279A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Tobacco Use Screening and Cessation Intervention</w:t>
            </w:r>
          </w:p>
        </w:tc>
        <w:tc>
          <w:tcPr>
            <w:tcW w:w="1710" w:type="dxa"/>
            <w:tcBorders>
              <w:top w:val="nil"/>
              <w:left w:val="nil"/>
              <w:bottom w:val="single" w:sz="4" w:space="0" w:color="auto"/>
              <w:right w:val="single" w:sz="4" w:space="0" w:color="auto"/>
            </w:tcBorders>
            <w:shd w:val="clear" w:color="auto" w:fill="auto"/>
            <w:hideMark/>
          </w:tcPr>
          <w:p w14:paraId="71159C86" w14:textId="77777777" w:rsidR="000279AB" w:rsidRPr="00AA4C1B" w:rsidRDefault="000279AB" w:rsidP="000279AB">
            <w:pPr>
              <w:spacing w:after="0" w:line="240" w:lineRule="auto"/>
              <w:jc w:val="center"/>
              <w:rPr>
                <w:rFonts w:ascii="Calibri" w:eastAsia="Times New Roman" w:hAnsi="Calibri" w:cs="Calibri"/>
                <w:color w:val="000000"/>
                <w:sz w:val="20"/>
                <w:szCs w:val="20"/>
              </w:rPr>
            </w:pPr>
            <w:r w:rsidRPr="00AA4C1B">
              <w:rPr>
                <w:rFonts w:ascii="Calibri" w:eastAsia="Times New Roman" w:hAnsi="Calibri" w:cs="Calibri"/>
                <w:color w:val="000000"/>
                <w:sz w:val="20"/>
                <w:szCs w:val="20"/>
              </w:rPr>
              <w:t>Tobacco Use Cessation Pharmacotherapy</w:t>
            </w:r>
          </w:p>
        </w:tc>
        <w:tc>
          <w:tcPr>
            <w:tcW w:w="900" w:type="dxa"/>
            <w:tcBorders>
              <w:top w:val="nil"/>
              <w:left w:val="nil"/>
              <w:bottom w:val="single" w:sz="4" w:space="0" w:color="auto"/>
              <w:right w:val="single" w:sz="4" w:space="0" w:color="auto"/>
            </w:tcBorders>
            <w:shd w:val="clear" w:color="auto" w:fill="auto"/>
            <w:noWrap/>
            <w:hideMark/>
          </w:tcPr>
          <w:p w14:paraId="6522C2D4" w14:textId="20391DB9"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85</w:t>
            </w:r>
          </w:p>
        </w:tc>
        <w:tc>
          <w:tcPr>
            <w:tcW w:w="900" w:type="dxa"/>
            <w:tcBorders>
              <w:top w:val="nil"/>
              <w:left w:val="nil"/>
              <w:bottom w:val="single" w:sz="4" w:space="0" w:color="auto"/>
              <w:right w:val="single" w:sz="4" w:space="0" w:color="auto"/>
            </w:tcBorders>
            <w:shd w:val="clear" w:color="auto" w:fill="auto"/>
            <w:noWrap/>
            <w:hideMark/>
          </w:tcPr>
          <w:p w14:paraId="01992C7D" w14:textId="164C87A6"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54</w:t>
            </w:r>
          </w:p>
        </w:tc>
        <w:tc>
          <w:tcPr>
            <w:tcW w:w="1260" w:type="dxa"/>
            <w:tcBorders>
              <w:top w:val="nil"/>
              <w:left w:val="nil"/>
              <w:bottom w:val="single" w:sz="4" w:space="0" w:color="auto"/>
              <w:right w:val="single" w:sz="4" w:space="0" w:color="auto"/>
            </w:tcBorders>
            <w:shd w:val="clear" w:color="auto" w:fill="auto"/>
            <w:noWrap/>
            <w:hideMark/>
          </w:tcPr>
          <w:p w14:paraId="6C4C7958" w14:textId="49C56967"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52</w:t>
            </w:r>
          </w:p>
        </w:tc>
        <w:tc>
          <w:tcPr>
            <w:tcW w:w="1260" w:type="dxa"/>
            <w:tcBorders>
              <w:top w:val="nil"/>
              <w:left w:val="nil"/>
              <w:bottom w:val="single" w:sz="4" w:space="0" w:color="auto"/>
              <w:right w:val="single" w:sz="4" w:space="0" w:color="auto"/>
            </w:tcBorders>
            <w:shd w:val="clear" w:color="auto" w:fill="auto"/>
            <w:noWrap/>
            <w:hideMark/>
          </w:tcPr>
          <w:p w14:paraId="4CD81F2D" w14:textId="26BAE28A"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38.8%</w:t>
            </w:r>
          </w:p>
        </w:tc>
        <w:tc>
          <w:tcPr>
            <w:tcW w:w="1260" w:type="dxa"/>
            <w:tcBorders>
              <w:top w:val="nil"/>
              <w:left w:val="nil"/>
              <w:bottom w:val="single" w:sz="4" w:space="0" w:color="auto"/>
              <w:right w:val="single" w:sz="4" w:space="0" w:color="auto"/>
            </w:tcBorders>
            <w:shd w:val="clear" w:color="auto" w:fill="auto"/>
            <w:noWrap/>
            <w:hideMark/>
          </w:tcPr>
          <w:p w14:paraId="1A30F09E" w14:textId="70027EFF"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3.7%</w:t>
            </w:r>
          </w:p>
        </w:tc>
      </w:tr>
      <w:tr w:rsidR="000279AB" w:rsidRPr="00AA4C1B" w14:paraId="08BC4B16" w14:textId="77777777" w:rsidTr="00B30CA5">
        <w:trPr>
          <w:trHeight w:val="300"/>
        </w:trPr>
        <w:tc>
          <w:tcPr>
            <w:tcW w:w="2245" w:type="dxa"/>
            <w:tcBorders>
              <w:top w:val="nil"/>
              <w:left w:val="nil"/>
              <w:bottom w:val="nil"/>
              <w:right w:val="nil"/>
            </w:tcBorders>
            <w:shd w:val="clear" w:color="auto" w:fill="auto"/>
            <w:noWrap/>
            <w:vAlign w:val="bottom"/>
            <w:hideMark/>
          </w:tcPr>
          <w:p w14:paraId="237D624B" w14:textId="77777777" w:rsidR="000279AB" w:rsidRPr="00AA4C1B" w:rsidRDefault="000279AB" w:rsidP="000279AB">
            <w:pPr>
              <w:spacing w:after="0" w:line="240" w:lineRule="auto"/>
              <w:jc w:val="center"/>
              <w:rPr>
                <w:rFonts w:ascii="Calibri" w:eastAsia="Times New Roman" w:hAnsi="Calibri" w:cs="Calibri"/>
                <w:color w:val="000000"/>
                <w:sz w:val="20"/>
                <w:szCs w:val="20"/>
              </w:rPr>
            </w:pPr>
          </w:p>
        </w:tc>
        <w:tc>
          <w:tcPr>
            <w:tcW w:w="1710" w:type="dxa"/>
            <w:tcBorders>
              <w:top w:val="nil"/>
              <w:left w:val="nil"/>
              <w:bottom w:val="nil"/>
              <w:right w:val="nil"/>
            </w:tcBorders>
            <w:shd w:val="clear" w:color="auto" w:fill="auto"/>
            <w:noWrap/>
            <w:vAlign w:val="bottom"/>
            <w:hideMark/>
          </w:tcPr>
          <w:p w14:paraId="1C309D88" w14:textId="77777777" w:rsidR="000279AB" w:rsidRPr="00AA4C1B" w:rsidRDefault="000279AB" w:rsidP="000279AB">
            <w:pPr>
              <w:spacing w:after="0" w:line="240" w:lineRule="auto"/>
              <w:jc w:val="center"/>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center"/>
            <w:hideMark/>
          </w:tcPr>
          <w:p w14:paraId="10182C6C" w14:textId="61173DD0"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353</w:t>
            </w:r>
          </w:p>
        </w:tc>
        <w:tc>
          <w:tcPr>
            <w:tcW w:w="900" w:type="dxa"/>
            <w:tcBorders>
              <w:top w:val="nil"/>
              <w:left w:val="nil"/>
              <w:bottom w:val="nil"/>
              <w:right w:val="nil"/>
            </w:tcBorders>
            <w:shd w:val="clear" w:color="auto" w:fill="auto"/>
            <w:noWrap/>
            <w:vAlign w:val="center"/>
            <w:hideMark/>
          </w:tcPr>
          <w:p w14:paraId="0A6CDFB0" w14:textId="6E52DB36"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334</w:t>
            </w:r>
          </w:p>
        </w:tc>
        <w:tc>
          <w:tcPr>
            <w:tcW w:w="1260" w:type="dxa"/>
            <w:tcBorders>
              <w:top w:val="nil"/>
              <w:left w:val="nil"/>
              <w:bottom w:val="nil"/>
              <w:right w:val="nil"/>
            </w:tcBorders>
            <w:shd w:val="clear" w:color="auto" w:fill="auto"/>
            <w:noWrap/>
            <w:vAlign w:val="center"/>
            <w:hideMark/>
          </w:tcPr>
          <w:p w14:paraId="0DCE1C1C" w14:textId="3EAFA97E"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79.6%</w:t>
            </w:r>
          </w:p>
        </w:tc>
        <w:tc>
          <w:tcPr>
            <w:tcW w:w="1260" w:type="dxa"/>
            <w:tcBorders>
              <w:top w:val="nil"/>
              <w:left w:val="nil"/>
              <w:bottom w:val="nil"/>
              <w:right w:val="nil"/>
            </w:tcBorders>
            <w:shd w:val="clear" w:color="auto" w:fill="auto"/>
            <w:noWrap/>
            <w:vAlign w:val="center"/>
            <w:hideMark/>
          </w:tcPr>
          <w:p w14:paraId="3719285A" w14:textId="2AE16FEA"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20.4%</w:t>
            </w:r>
          </w:p>
        </w:tc>
        <w:tc>
          <w:tcPr>
            <w:tcW w:w="1260" w:type="dxa"/>
            <w:tcBorders>
              <w:top w:val="nil"/>
              <w:left w:val="nil"/>
              <w:bottom w:val="nil"/>
              <w:right w:val="nil"/>
            </w:tcBorders>
            <w:shd w:val="clear" w:color="auto" w:fill="auto"/>
            <w:noWrap/>
            <w:vAlign w:val="center"/>
            <w:hideMark/>
          </w:tcPr>
          <w:p w14:paraId="5B2DD7CA" w14:textId="01789433" w:rsidR="000279AB" w:rsidRPr="00AA4C1B" w:rsidRDefault="000279AB" w:rsidP="000279AB">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15.9%</w:t>
            </w:r>
          </w:p>
        </w:tc>
      </w:tr>
    </w:tbl>
    <w:p w14:paraId="500A7F24" w14:textId="452C2A48" w:rsidR="000133BD" w:rsidRPr="008772AA" w:rsidRDefault="000133BD" w:rsidP="000133BD">
      <w:pPr>
        <w:pStyle w:val="ListParagraph"/>
        <w:numPr>
          <w:ilvl w:val="0"/>
          <w:numId w:val="1"/>
        </w:numPr>
        <w:spacing w:after="0"/>
        <w:rPr>
          <w:b/>
          <w:bCs/>
        </w:rPr>
      </w:pPr>
      <w:r w:rsidRPr="008772AA">
        <w:rPr>
          <w:b/>
          <w:bCs/>
        </w:rPr>
        <w:lastRenderedPageBreak/>
        <w:t xml:space="preserve">Estimating the Impact of the Change to the </w:t>
      </w:r>
      <w:r w:rsidR="008772AA" w:rsidRPr="008772AA">
        <w:rPr>
          <w:b/>
          <w:bCs/>
        </w:rPr>
        <w:t xml:space="preserve">Quality Measure for Blood Pressure Control Among Patients </w:t>
      </w:r>
      <w:proofErr w:type="gramStart"/>
      <w:r w:rsidR="008772AA" w:rsidRPr="008772AA">
        <w:rPr>
          <w:b/>
          <w:bCs/>
        </w:rPr>
        <w:t>With</w:t>
      </w:r>
      <w:proofErr w:type="gramEnd"/>
      <w:r w:rsidR="008772AA" w:rsidRPr="008772AA">
        <w:rPr>
          <w:b/>
          <w:bCs/>
        </w:rPr>
        <w:t xml:space="preserve"> Hypertension</w:t>
      </w:r>
    </w:p>
    <w:p w14:paraId="7F7840DE" w14:textId="77777777" w:rsidR="000133BD" w:rsidRDefault="000133BD" w:rsidP="006C101B">
      <w:pPr>
        <w:spacing w:after="0"/>
      </w:pPr>
    </w:p>
    <w:p w14:paraId="7A07F8F1" w14:textId="5F289D8D" w:rsidR="008772AA" w:rsidRDefault="008772AA" w:rsidP="006C101B">
      <w:pPr>
        <w:spacing w:after="0"/>
      </w:pPr>
      <w:r w:rsidRPr="00F34BF2">
        <w:rPr>
          <w:u w:val="single"/>
        </w:rPr>
        <w:t>Report</w:t>
      </w:r>
      <w:r>
        <w:t>:</w:t>
      </w:r>
      <w:r w:rsidRPr="008772AA">
        <w:t xml:space="preserve"> Controlling High Blood Pressure</w:t>
      </w:r>
    </w:p>
    <w:p w14:paraId="0C0CCC07" w14:textId="61FBD413" w:rsidR="008772AA" w:rsidRDefault="008772AA" w:rsidP="006C101B">
      <w:pPr>
        <w:spacing w:after="0"/>
      </w:pPr>
    </w:p>
    <w:p w14:paraId="1503CB33" w14:textId="13125F05" w:rsidR="008772AA" w:rsidRDefault="008772AA" w:rsidP="006C101B">
      <w:pPr>
        <w:spacing w:after="0"/>
      </w:pPr>
      <w:r w:rsidRPr="00F41948">
        <w:rPr>
          <w:u w:val="single"/>
        </w:rPr>
        <w:t>Issue</w:t>
      </w:r>
      <w:r>
        <w:t xml:space="preserve">: The 2020 </w:t>
      </w:r>
      <w:proofErr w:type="spellStart"/>
      <w:r>
        <w:t>eCQM</w:t>
      </w:r>
      <w:proofErr w:type="spellEnd"/>
      <w:r>
        <w:t xml:space="preserve"> definition has changed. This change will impact both the denominator and the numerator of the measure.</w:t>
      </w:r>
    </w:p>
    <w:p w14:paraId="7D95624B" w14:textId="77777777" w:rsidR="008772AA" w:rsidRDefault="008772AA" w:rsidP="006C101B">
      <w:pPr>
        <w:spacing w:after="0"/>
      </w:pPr>
    </w:p>
    <w:p w14:paraId="527711A7" w14:textId="1707D3F7" w:rsidR="00B46AC0" w:rsidRDefault="008772AA" w:rsidP="006C101B">
      <w:pPr>
        <w:spacing w:after="0"/>
      </w:pPr>
      <w:r w:rsidRPr="003432F7">
        <w:rPr>
          <w:u w:val="single"/>
        </w:rPr>
        <w:t>Description</w:t>
      </w:r>
      <w:r>
        <w:t xml:space="preserve">: </w:t>
      </w:r>
      <w:r w:rsidR="00B46AC0">
        <w:t xml:space="preserve">The 2019 </w:t>
      </w:r>
      <w:proofErr w:type="spellStart"/>
      <w:r w:rsidR="00B46AC0">
        <w:t>eCQM</w:t>
      </w:r>
      <w:proofErr w:type="spellEnd"/>
      <w:r w:rsidR="00B46AC0">
        <w:t xml:space="preserve"> (165v7) states that the initial population for the measure consists of “</w:t>
      </w:r>
      <w:r w:rsidR="00B46AC0" w:rsidRPr="00B46AC0">
        <w:t xml:space="preserve">Patients 18-85 years of age who had a diagnosis of essential hypertension </w:t>
      </w:r>
      <w:r w:rsidR="00B46AC0" w:rsidRPr="00D466AD">
        <w:rPr>
          <w:i/>
          <w:iCs/>
        </w:rPr>
        <w:t>within the first six months of the measurement period or any time prior to the measurement period</w:t>
      </w:r>
      <w:r w:rsidR="00B46AC0">
        <w:t>” (emphasis added). This is also reflected in the 2019 UDS Manual (see page 99).</w:t>
      </w:r>
    </w:p>
    <w:p w14:paraId="4B6BD031" w14:textId="021EC7B7" w:rsidR="00B46AC0" w:rsidRDefault="00B46AC0" w:rsidP="006C101B">
      <w:pPr>
        <w:spacing w:after="0"/>
      </w:pPr>
    </w:p>
    <w:p w14:paraId="71E057C6" w14:textId="3A1062D1" w:rsidR="00B46AC0" w:rsidRDefault="00B46AC0" w:rsidP="006C101B">
      <w:pPr>
        <w:spacing w:after="0"/>
      </w:pPr>
      <w:r>
        <w:t xml:space="preserve">However, the 2020 </w:t>
      </w:r>
      <w:proofErr w:type="spellStart"/>
      <w:r>
        <w:t>eCQM</w:t>
      </w:r>
      <w:proofErr w:type="spellEnd"/>
      <w:r>
        <w:t xml:space="preserve"> (165v8) states</w:t>
      </w:r>
      <w:r w:rsidRPr="00B46AC0">
        <w:t xml:space="preserve"> </w:t>
      </w:r>
      <w:r>
        <w:t>that the initial population for the measure consists of “</w:t>
      </w:r>
      <w:r w:rsidRPr="00B46AC0">
        <w:t xml:space="preserve">Patients 18-85 years of age who had a visit and diagnosis of essential hypertension </w:t>
      </w:r>
      <w:r w:rsidRPr="00D466AD">
        <w:rPr>
          <w:i/>
          <w:iCs/>
        </w:rPr>
        <w:t>overlapping the measurement period</w:t>
      </w:r>
      <w:r>
        <w:t>”</w:t>
      </w:r>
      <w:r w:rsidR="00D466AD">
        <w:t xml:space="preserve"> (emphasis added). There is no “6-month” criterion in the 2020 version of the measure.</w:t>
      </w:r>
    </w:p>
    <w:p w14:paraId="6E5CB830" w14:textId="77777777" w:rsidR="00B46AC0" w:rsidRDefault="00B46AC0" w:rsidP="006C101B">
      <w:pPr>
        <w:spacing w:after="0"/>
      </w:pPr>
    </w:p>
    <w:p w14:paraId="1B50AFB0" w14:textId="6A4897EE" w:rsidR="008772AA" w:rsidRDefault="00B46AC0" w:rsidP="006C101B">
      <w:pPr>
        <w:spacing w:after="0"/>
      </w:pPr>
      <w:r>
        <w:t xml:space="preserve">The 2019 QIP hypertension measure, which is based on the </w:t>
      </w:r>
      <w:r w:rsidR="00D466AD">
        <w:t xml:space="preserve">2019 </w:t>
      </w:r>
      <w:r>
        <w:t xml:space="preserve">HEDIS definition, does not have </w:t>
      </w:r>
      <w:r w:rsidR="00D466AD">
        <w:t>this 6-month criterion</w:t>
      </w:r>
      <w:r>
        <w:t>. So</w:t>
      </w:r>
      <w:r w:rsidR="00D466AD">
        <w:t>,</w:t>
      </w:r>
      <w:r>
        <w:t xml:space="preserve"> this measure has already switched to the new </w:t>
      </w:r>
      <w:r w:rsidR="00D466AD">
        <w:t>approach</w:t>
      </w:r>
      <w:r>
        <w:t>.</w:t>
      </w:r>
    </w:p>
    <w:p w14:paraId="1137F598" w14:textId="2AD57F38" w:rsidR="00B46AC0" w:rsidRDefault="00B46AC0" w:rsidP="006C101B">
      <w:pPr>
        <w:spacing w:after="0"/>
      </w:pPr>
    </w:p>
    <w:p w14:paraId="5B36D076" w14:textId="3879EB0D" w:rsidR="008772AA" w:rsidRDefault="00B46AC0" w:rsidP="006C101B">
      <w:pPr>
        <w:spacing w:after="0"/>
      </w:pPr>
      <w:r w:rsidRPr="00C512FD">
        <w:rPr>
          <w:u w:val="single"/>
        </w:rPr>
        <w:t>Additional Information</w:t>
      </w:r>
      <w:r>
        <w:t>:</w:t>
      </w:r>
      <w:r w:rsidR="002A5627">
        <w:t xml:space="preserve"> The table below displays how the new definition would impact the measure at the RCHC health centers. Essentially, it would add newly diagnosed patients to the denominator who tend to have high blood pressure. Therefore, the denominator would increase by 9.4% overall and the numerator percentage would decrease by 1.2%.</w:t>
      </w:r>
      <w:r w:rsidR="00D466AD">
        <w:t xml:space="preserve"> There is some variability among the health centers.</w:t>
      </w:r>
    </w:p>
    <w:p w14:paraId="59BDA63B" w14:textId="61800064" w:rsidR="00BB22F1" w:rsidRDefault="00BB22F1" w:rsidP="006C101B">
      <w:pPr>
        <w:spacing w:after="0"/>
      </w:pPr>
    </w:p>
    <w:tbl>
      <w:tblPr>
        <w:tblW w:w="9085" w:type="dxa"/>
        <w:tblLook w:val="04A0" w:firstRow="1" w:lastRow="0" w:firstColumn="1" w:lastColumn="0" w:noHBand="0" w:noVBand="1"/>
      </w:tblPr>
      <w:tblGrid>
        <w:gridCol w:w="1885"/>
        <w:gridCol w:w="1420"/>
        <w:gridCol w:w="1420"/>
        <w:gridCol w:w="1120"/>
        <w:gridCol w:w="1710"/>
        <w:gridCol w:w="1530"/>
      </w:tblGrid>
      <w:tr w:rsidR="00B46AC0" w:rsidRPr="00B46AC0" w14:paraId="58FB2D67" w14:textId="77777777" w:rsidTr="002A5627">
        <w:trPr>
          <w:trHeight w:val="300"/>
        </w:trPr>
        <w:tc>
          <w:tcPr>
            <w:tcW w:w="1885" w:type="dxa"/>
            <w:vMerge w:val="restart"/>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52D0B372" w14:textId="77777777" w:rsidR="00B46AC0" w:rsidRPr="00B46AC0" w:rsidRDefault="00B46AC0" w:rsidP="00B46AC0">
            <w:pPr>
              <w:spacing w:after="0" w:line="240" w:lineRule="auto"/>
              <w:jc w:val="center"/>
              <w:rPr>
                <w:rFonts w:ascii="Calibri" w:eastAsia="Times New Roman" w:hAnsi="Calibri" w:cs="Calibri"/>
                <w:b/>
                <w:bCs/>
                <w:color w:val="000000"/>
                <w:sz w:val="20"/>
                <w:szCs w:val="20"/>
              </w:rPr>
            </w:pPr>
            <w:r w:rsidRPr="00B46AC0">
              <w:rPr>
                <w:rFonts w:ascii="Calibri" w:eastAsia="Times New Roman" w:hAnsi="Calibri" w:cs="Calibri"/>
                <w:b/>
                <w:bCs/>
                <w:color w:val="000000"/>
                <w:sz w:val="20"/>
                <w:szCs w:val="20"/>
              </w:rPr>
              <w:t>Health Center</w:t>
            </w:r>
          </w:p>
        </w:tc>
        <w:tc>
          <w:tcPr>
            <w:tcW w:w="2840" w:type="dxa"/>
            <w:gridSpan w:val="2"/>
            <w:tcBorders>
              <w:top w:val="single" w:sz="4" w:space="0" w:color="auto"/>
              <w:left w:val="nil"/>
              <w:bottom w:val="single" w:sz="4" w:space="0" w:color="auto"/>
              <w:right w:val="single" w:sz="4" w:space="0" w:color="auto"/>
            </w:tcBorders>
            <w:shd w:val="clear" w:color="000000" w:fill="FCE4D6"/>
            <w:noWrap/>
            <w:vAlign w:val="bottom"/>
            <w:hideMark/>
          </w:tcPr>
          <w:p w14:paraId="2B80EF10" w14:textId="77777777" w:rsidR="00B46AC0" w:rsidRPr="00B46AC0" w:rsidRDefault="00B46AC0" w:rsidP="00B46AC0">
            <w:pPr>
              <w:spacing w:after="0" w:line="240" w:lineRule="auto"/>
              <w:jc w:val="center"/>
              <w:rPr>
                <w:rFonts w:ascii="Calibri" w:eastAsia="Times New Roman" w:hAnsi="Calibri" w:cs="Calibri"/>
                <w:b/>
                <w:bCs/>
                <w:color w:val="000000"/>
                <w:sz w:val="20"/>
                <w:szCs w:val="20"/>
              </w:rPr>
            </w:pPr>
            <w:r w:rsidRPr="00B46AC0">
              <w:rPr>
                <w:rFonts w:ascii="Calibri" w:eastAsia="Times New Roman" w:hAnsi="Calibri" w:cs="Calibri"/>
                <w:b/>
                <w:bCs/>
                <w:color w:val="000000"/>
                <w:sz w:val="20"/>
                <w:szCs w:val="20"/>
              </w:rPr>
              <w:t>Current QM</w:t>
            </w:r>
          </w:p>
        </w:tc>
        <w:tc>
          <w:tcPr>
            <w:tcW w:w="4360" w:type="dxa"/>
            <w:gridSpan w:val="3"/>
            <w:tcBorders>
              <w:top w:val="single" w:sz="4" w:space="0" w:color="auto"/>
              <w:left w:val="nil"/>
              <w:bottom w:val="single" w:sz="4" w:space="0" w:color="auto"/>
              <w:right w:val="single" w:sz="4" w:space="0" w:color="auto"/>
            </w:tcBorders>
            <w:shd w:val="clear" w:color="000000" w:fill="FCE4D6"/>
            <w:noWrap/>
            <w:vAlign w:val="bottom"/>
            <w:hideMark/>
          </w:tcPr>
          <w:p w14:paraId="0C5FF9B4" w14:textId="77777777" w:rsidR="00B46AC0" w:rsidRPr="00B46AC0" w:rsidRDefault="00B46AC0" w:rsidP="00B46AC0">
            <w:pPr>
              <w:spacing w:after="0" w:line="240" w:lineRule="auto"/>
              <w:jc w:val="center"/>
              <w:rPr>
                <w:rFonts w:ascii="Calibri" w:eastAsia="Times New Roman" w:hAnsi="Calibri" w:cs="Calibri"/>
                <w:b/>
                <w:bCs/>
                <w:color w:val="000000"/>
                <w:sz w:val="20"/>
                <w:szCs w:val="20"/>
              </w:rPr>
            </w:pPr>
            <w:r w:rsidRPr="00B46AC0">
              <w:rPr>
                <w:rFonts w:ascii="Calibri" w:eastAsia="Times New Roman" w:hAnsi="Calibri" w:cs="Calibri"/>
                <w:b/>
                <w:bCs/>
                <w:color w:val="000000"/>
                <w:sz w:val="20"/>
                <w:szCs w:val="20"/>
              </w:rPr>
              <w:t>New Definition</w:t>
            </w:r>
          </w:p>
        </w:tc>
      </w:tr>
      <w:tr w:rsidR="00B46AC0" w:rsidRPr="00B46AC0" w14:paraId="4A6B7CC6" w14:textId="77777777" w:rsidTr="002A5627">
        <w:trPr>
          <w:trHeight w:val="525"/>
        </w:trPr>
        <w:tc>
          <w:tcPr>
            <w:tcW w:w="1885" w:type="dxa"/>
            <w:vMerge/>
            <w:tcBorders>
              <w:top w:val="single" w:sz="4" w:space="0" w:color="auto"/>
              <w:left w:val="single" w:sz="4" w:space="0" w:color="auto"/>
              <w:bottom w:val="single" w:sz="4" w:space="0" w:color="auto"/>
              <w:right w:val="single" w:sz="4" w:space="0" w:color="auto"/>
            </w:tcBorders>
            <w:vAlign w:val="center"/>
            <w:hideMark/>
          </w:tcPr>
          <w:p w14:paraId="3709BF68" w14:textId="77777777" w:rsidR="00B46AC0" w:rsidRPr="00B46AC0" w:rsidRDefault="00B46AC0" w:rsidP="00B46AC0">
            <w:pPr>
              <w:spacing w:after="0" w:line="240" w:lineRule="auto"/>
              <w:rPr>
                <w:rFonts w:ascii="Calibri" w:eastAsia="Times New Roman" w:hAnsi="Calibri" w:cs="Calibri"/>
                <w:b/>
                <w:bCs/>
                <w:color w:val="000000"/>
                <w:sz w:val="20"/>
                <w:szCs w:val="20"/>
              </w:rPr>
            </w:pPr>
          </w:p>
        </w:tc>
        <w:tc>
          <w:tcPr>
            <w:tcW w:w="1420" w:type="dxa"/>
            <w:tcBorders>
              <w:top w:val="nil"/>
              <w:left w:val="nil"/>
              <w:bottom w:val="single" w:sz="4" w:space="0" w:color="auto"/>
              <w:right w:val="single" w:sz="4" w:space="0" w:color="auto"/>
            </w:tcBorders>
            <w:shd w:val="clear" w:color="000000" w:fill="FCE4D6"/>
            <w:vAlign w:val="bottom"/>
            <w:hideMark/>
          </w:tcPr>
          <w:p w14:paraId="0C00BD58" w14:textId="77777777" w:rsidR="00B46AC0" w:rsidRPr="00B46AC0" w:rsidRDefault="00B46AC0" w:rsidP="00B46AC0">
            <w:pPr>
              <w:spacing w:after="0" w:line="240" w:lineRule="auto"/>
              <w:jc w:val="center"/>
              <w:rPr>
                <w:rFonts w:ascii="Calibri" w:eastAsia="Times New Roman" w:hAnsi="Calibri" w:cs="Calibri"/>
                <w:b/>
                <w:bCs/>
                <w:color w:val="000000"/>
                <w:sz w:val="20"/>
                <w:szCs w:val="20"/>
              </w:rPr>
            </w:pPr>
            <w:r w:rsidRPr="00B46AC0">
              <w:rPr>
                <w:rFonts w:ascii="Calibri" w:eastAsia="Times New Roman" w:hAnsi="Calibri" w:cs="Calibri"/>
                <w:b/>
                <w:bCs/>
                <w:color w:val="000000"/>
                <w:sz w:val="20"/>
                <w:szCs w:val="20"/>
              </w:rPr>
              <w:t>Denominator</w:t>
            </w:r>
          </w:p>
        </w:tc>
        <w:tc>
          <w:tcPr>
            <w:tcW w:w="1420" w:type="dxa"/>
            <w:tcBorders>
              <w:top w:val="nil"/>
              <w:left w:val="nil"/>
              <w:bottom w:val="single" w:sz="4" w:space="0" w:color="auto"/>
              <w:right w:val="single" w:sz="4" w:space="0" w:color="auto"/>
            </w:tcBorders>
            <w:shd w:val="clear" w:color="000000" w:fill="FCE4D6"/>
            <w:vAlign w:val="bottom"/>
            <w:hideMark/>
          </w:tcPr>
          <w:p w14:paraId="136C942A" w14:textId="77777777" w:rsidR="00B46AC0" w:rsidRPr="00B46AC0" w:rsidRDefault="00B46AC0" w:rsidP="00B46AC0">
            <w:pPr>
              <w:spacing w:after="0" w:line="240" w:lineRule="auto"/>
              <w:jc w:val="center"/>
              <w:rPr>
                <w:rFonts w:ascii="Calibri" w:eastAsia="Times New Roman" w:hAnsi="Calibri" w:cs="Calibri"/>
                <w:b/>
                <w:bCs/>
                <w:color w:val="000000"/>
                <w:sz w:val="20"/>
                <w:szCs w:val="20"/>
              </w:rPr>
            </w:pPr>
            <w:r w:rsidRPr="00B46AC0">
              <w:rPr>
                <w:rFonts w:ascii="Calibri" w:eastAsia="Times New Roman" w:hAnsi="Calibri" w:cs="Calibri"/>
                <w:b/>
                <w:bCs/>
                <w:color w:val="000000"/>
                <w:sz w:val="20"/>
                <w:szCs w:val="20"/>
              </w:rPr>
              <w:t>Numerator</w:t>
            </w:r>
          </w:p>
        </w:tc>
        <w:tc>
          <w:tcPr>
            <w:tcW w:w="1120" w:type="dxa"/>
            <w:tcBorders>
              <w:top w:val="nil"/>
              <w:left w:val="nil"/>
              <w:bottom w:val="single" w:sz="4" w:space="0" w:color="auto"/>
              <w:right w:val="single" w:sz="4" w:space="0" w:color="auto"/>
            </w:tcBorders>
            <w:shd w:val="clear" w:color="000000" w:fill="FCE4D6"/>
            <w:vAlign w:val="bottom"/>
            <w:hideMark/>
          </w:tcPr>
          <w:p w14:paraId="477CD5C4" w14:textId="77777777" w:rsidR="00B46AC0" w:rsidRPr="00B46AC0" w:rsidRDefault="00B46AC0" w:rsidP="00B46AC0">
            <w:pPr>
              <w:spacing w:after="0" w:line="240" w:lineRule="auto"/>
              <w:jc w:val="center"/>
              <w:rPr>
                <w:rFonts w:ascii="Calibri" w:eastAsia="Times New Roman" w:hAnsi="Calibri" w:cs="Calibri"/>
                <w:b/>
                <w:bCs/>
                <w:color w:val="000000"/>
                <w:sz w:val="20"/>
                <w:szCs w:val="20"/>
              </w:rPr>
            </w:pPr>
            <w:r w:rsidRPr="00B46AC0">
              <w:rPr>
                <w:rFonts w:ascii="Calibri" w:eastAsia="Times New Roman" w:hAnsi="Calibri" w:cs="Calibri"/>
                <w:b/>
                <w:bCs/>
                <w:color w:val="000000"/>
                <w:sz w:val="20"/>
                <w:szCs w:val="20"/>
              </w:rPr>
              <w:t>New Patients</w:t>
            </w:r>
          </w:p>
        </w:tc>
        <w:tc>
          <w:tcPr>
            <w:tcW w:w="1710" w:type="dxa"/>
            <w:tcBorders>
              <w:top w:val="nil"/>
              <w:left w:val="nil"/>
              <w:bottom w:val="single" w:sz="4" w:space="0" w:color="auto"/>
              <w:right w:val="single" w:sz="4" w:space="0" w:color="auto"/>
            </w:tcBorders>
            <w:shd w:val="clear" w:color="000000" w:fill="FCE4D6"/>
            <w:vAlign w:val="bottom"/>
            <w:hideMark/>
          </w:tcPr>
          <w:p w14:paraId="1B21971F" w14:textId="77777777" w:rsidR="00B46AC0" w:rsidRPr="00B46AC0" w:rsidRDefault="00B46AC0" w:rsidP="00B46AC0">
            <w:pPr>
              <w:spacing w:after="0" w:line="240" w:lineRule="auto"/>
              <w:jc w:val="center"/>
              <w:rPr>
                <w:rFonts w:ascii="Calibri" w:eastAsia="Times New Roman" w:hAnsi="Calibri" w:cs="Calibri"/>
                <w:b/>
                <w:bCs/>
                <w:color w:val="000000"/>
                <w:sz w:val="20"/>
                <w:szCs w:val="20"/>
              </w:rPr>
            </w:pPr>
            <w:r w:rsidRPr="00B46AC0">
              <w:rPr>
                <w:rFonts w:ascii="Calibri" w:eastAsia="Times New Roman" w:hAnsi="Calibri" w:cs="Calibri"/>
                <w:b/>
                <w:bCs/>
                <w:color w:val="000000"/>
                <w:sz w:val="20"/>
                <w:szCs w:val="20"/>
              </w:rPr>
              <w:t>Difference from Old Denominator</w:t>
            </w:r>
          </w:p>
        </w:tc>
        <w:tc>
          <w:tcPr>
            <w:tcW w:w="1530" w:type="dxa"/>
            <w:tcBorders>
              <w:top w:val="nil"/>
              <w:left w:val="nil"/>
              <w:bottom w:val="single" w:sz="4" w:space="0" w:color="auto"/>
              <w:right w:val="single" w:sz="4" w:space="0" w:color="auto"/>
            </w:tcBorders>
            <w:shd w:val="clear" w:color="000000" w:fill="FCE4D6"/>
            <w:vAlign w:val="bottom"/>
            <w:hideMark/>
          </w:tcPr>
          <w:p w14:paraId="72AF4EB5" w14:textId="77777777" w:rsidR="00B46AC0" w:rsidRPr="00B46AC0" w:rsidRDefault="00B46AC0" w:rsidP="00B46AC0">
            <w:pPr>
              <w:spacing w:after="0" w:line="240" w:lineRule="auto"/>
              <w:jc w:val="center"/>
              <w:rPr>
                <w:rFonts w:ascii="Calibri" w:eastAsia="Times New Roman" w:hAnsi="Calibri" w:cs="Calibri"/>
                <w:b/>
                <w:bCs/>
                <w:color w:val="000000"/>
                <w:sz w:val="20"/>
                <w:szCs w:val="20"/>
              </w:rPr>
            </w:pPr>
            <w:r w:rsidRPr="00B46AC0">
              <w:rPr>
                <w:rFonts w:ascii="Calibri" w:eastAsia="Times New Roman" w:hAnsi="Calibri" w:cs="Calibri"/>
                <w:b/>
                <w:bCs/>
                <w:color w:val="000000"/>
                <w:sz w:val="20"/>
                <w:szCs w:val="20"/>
              </w:rPr>
              <w:t>Impact to New Numerator</w:t>
            </w:r>
          </w:p>
        </w:tc>
      </w:tr>
      <w:tr w:rsidR="00B46AC0" w:rsidRPr="00B46AC0" w14:paraId="7A636DD0" w14:textId="77777777" w:rsidTr="002A5627">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189E9E0F"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Santa Rosa</w:t>
            </w:r>
          </w:p>
        </w:tc>
        <w:tc>
          <w:tcPr>
            <w:tcW w:w="1420" w:type="dxa"/>
            <w:tcBorders>
              <w:top w:val="nil"/>
              <w:left w:val="nil"/>
              <w:bottom w:val="single" w:sz="4" w:space="0" w:color="auto"/>
              <w:right w:val="single" w:sz="4" w:space="0" w:color="auto"/>
            </w:tcBorders>
            <w:shd w:val="clear" w:color="auto" w:fill="auto"/>
            <w:noWrap/>
            <w:vAlign w:val="bottom"/>
            <w:hideMark/>
          </w:tcPr>
          <w:p w14:paraId="18226F08"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5,976</w:t>
            </w:r>
          </w:p>
        </w:tc>
        <w:tc>
          <w:tcPr>
            <w:tcW w:w="1420" w:type="dxa"/>
            <w:tcBorders>
              <w:top w:val="nil"/>
              <w:left w:val="nil"/>
              <w:bottom w:val="single" w:sz="4" w:space="0" w:color="auto"/>
              <w:right w:val="single" w:sz="4" w:space="0" w:color="auto"/>
            </w:tcBorders>
            <w:shd w:val="clear" w:color="auto" w:fill="auto"/>
            <w:noWrap/>
            <w:vAlign w:val="bottom"/>
            <w:hideMark/>
          </w:tcPr>
          <w:p w14:paraId="7C0A479D"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65.1%</w:t>
            </w:r>
          </w:p>
        </w:tc>
        <w:tc>
          <w:tcPr>
            <w:tcW w:w="1120" w:type="dxa"/>
            <w:tcBorders>
              <w:top w:val="nil"/>
              <w:left w:val="nil"/>
              <w:bottom w:val="single" w:sz="4" w:space="0" w:color="auto"/>
              <w:right w:val="single" w:sz="4" w:space="0" w:color="auto"/>
            </w:tcBorders>
            <w:shd w:val="clear" w:color="auto" w:fill="auto"/>
            <w:noWrap/>
            <w:vAlign w:val="bottom"/>
            <w:hideMark/>
          </w:tcPr>
          <w:p w14:paraId="316A5DB4"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547</w:t>
            </w:r>
          </w:p>
        </w:tc>
        <w:tc>
          <w:tcPr>
            <w:tcW w:w="1710" w:type="dxa"/>
            <w:tcBorders>
              <w:top w:val="nil"/>
              <w:left w:val="nil"/>
              <w:bottom w:val="single" w:sz="4" w:space="0" w:color="auto"/>
              <w:right w:val="single" w:sz="4" w:space="0" w:color="auto"/>
            </w:tcBorders>
            <w:shd w:val="clear" w:color="auto" w:fill="auto"/>
            <w:noWrap/>
            <w:vAlign w:val="bottom"/>
            <w:hideMark/>
          </w:tcPr>
          <w:p w14:paraId="58998C0B"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9.2%</w:t>
            </w:r>
          </w:p>
        </w:tc>
        <w:tc>
          <w:tcPr>
            <w:tcW w:w="1530" w:type="dxa"/>
            <w:tcBorders>
              <w:top w:val="nil"/>
              <w:left w:val="nil"/>
              <w:bottom w:val="single" w:sz="4" w:space="0" w:color="auto"/>
              <w:right w:val="single" w:sz="4" w:space="0" w:color="auto"/>
            </w:tcBorders>
            <w:shd w:val="clear" w:color="auto" w:fill="auto"/>
            <w:noWrap/>
            <w:vAlign w:val="bottom"/>
            <w:hideMark/>
          </w:tcPr>
          <w:p w14:paraId="159E710B"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-1.4%</w:t>
            </w:r>
          </w:p>
        </w:tc>
      </w:tr>
      <w:tr w:rsidR="00B46AC0" w:rsidRPr="00B46AC0" w14:paraId="6A371ECB" w14:textId="77777777" w:rsidTr="002A5627">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5378B4F4"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Petaluma</w:t>
            </w:r>
          </w:p>
        </w:tc>
        <w:tc>
          <w:tcPr>
            <w:tcW w:w="1420" w:type="dxa"/>
            <w:tcBorders>
              <w:top w:val="nil"/>
              <w:left w:val="nil"/>
              <w:bottom w:val="single" w:sz="4" w:space="0" w:color="auto"/>
              <w:right w:val="single" w:sz="4" w:space="0" w:color="auto"/>
            </w:tcBorders>
            <w:shd w:val="clear" w:color="auto" w:fill="auto"/>
            <w:noWrap/>
            <w:vAlign w:val="bottom"/>
            <w:hideMark/>
          </w:tcPr>
          <w:p w14:paraId="58C2E029"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4,067</w:t>
            </w:r>
          </w:p>
        </w:tc>
        <w:tc>
          <w:tcPr>
            <w:tcW w:w="1420" w:type="dxa"/>
            <w:tcBorders>
              <w:top w:val="nil"/>
              <w:left w:val="nil"/>
              <w:bottom w:val="single" w:sz="4" w:space="0" w:color="auto"/>
              <w:right w:val="single" w:sz="4" w:space="0" w:color="auto"/>
            </w:tcBorders>
            <w:shd w:val="clear" w:color="auto" w:fill="auto"/>
            <w:noWrap/>
            <w:vAlign w:val="bottom"/>
            <w:hideMark/>
          </w:tcPr>
          <w:p w14:paraId="471E77D6"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77.6%</w:t>
            </w:r>
          </w:p>
        </w:tc>
        <w:tc>
          <w:tcPr>
            <w:tcW w:w="1120" w:type="dxa"/>
            <w:tcBorders>
              <w:top w:val="nil"/>
              <w:left w:val="nil"/>
              <w:bottom w:val="single" w:sz="4" w:space="0" w:color="auto"/>
              <w:right w:val="single" w:sz="4" w:space="0" w:color="auto"/>
            </w:tcBorders>
            <w:shd w:val="clear" w:color="auto" w:fill="auto"/>
            <w:noWrap/>
            <w:vAlign w:val="bottom"/>
            <w:hideMark/>
          </w:tcPr>
          <w:p w14:paraId="76E818A4"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389</w:t>
            </w:r>
          </w:p>
        </w:tc>
        <w:tc>
          <w:tcPr>
            <w:tcW w:w="1710" w:type="dxa"/>
            <w:tcBorders>
              <w:top w:val="nil"/>
              <w:left w:val="nil"/>
              <w:bottom w:val="single" w:sz="4" w:space="0" w:color="auto"/>
              <w:right w:val="single" w:sz="4" w:space="0" w:color="auto"/>
            </w:tcBorders>
            <w:shd w:val="clear" w:color="auto" w:fill="auto"/>
            <w:noWrap/>
            <w:vAlign w:val="bottom"/>
            <w:hideMark/>
          </w:tcPr>
          <w:p w14:paraId="41064BDB"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9.6%</w:t>
            </w:r>
          </w:p>
        </w:tc>
        <w:tc>
          <w:tcPr>
            <w:tcW w:w="1530" w:type="dxa"/>
            <w:tcBorders>
              <w:top w:val="nil"/>
              <w:left w:val="nil"/>
              <w:bottom w:val="single" w:sz="4" w:space="0" w:color="auto"/>
              <w:right w:val="single" w:sz="4" w:space="0" w:color="auto"/>
            </w:tcBorders>
            <w:shd w:val="clear" w:color="auto" w:fill="auto"/>
            <w:noWrap/>
            <w:vAlign w:val="bottom"/>
            <w:hideMark/>
          </w:tcPr>
          <w:p w14:paraId="2998E933"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-0.9%</w:t>
            </w:r>
          </w:p>
        </w:tc>
      </w:tr>
      <w:tr w:rsidR="00B46AC0" w:rsidRPr="00B46AC0" w14:paraId="6EA3E1CE" w14:textId="77777777" w:rsidTr="002A5627">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5FA546B5"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Ole</w:t>
            </w:r>
          </w:p>
        </w:tc>
        <w:tc>
          <w:tcPr>
            <w:tcW w:w="1420" w:type="dxa"/>
            <w:tcBorders>
              <w:top w:val="nil"/>
              <w:left w:val="nil"/>
              <w:bottom w:val="single" w:sz="4" w:space="0" w:color="auto"/>
              <w:right w:val="single" w:sz="4" w:space="0" w:color="auto"/>
            </w:tcBorders>
            <w:shd w:val="clear" w:color="auto" w:fill="auto"/>
            <w:noWrap/>
            <w:vAlign w:val="bottom"/>
            <w:hideMark/>
          </w:tcPr>
          <w:p w14:paraId="62967C59"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4,738</w:t>
            </w:r>
          </w:p>
        </w:tc>
        <w:tc>
          <w:tcPr>
            <w:tcW w:w="1420" w:type="dxa"/>
            <w:tcBorders>
              <w:top w:val="nil"/>
              <w:left w:val="nil"/>
              <w:bottom w:val="single" w:sz="4" w:space="0" w:color="auto"/>
              <w:right w:val="single" w:sz="4" w:space="0" w:color="auto"/>
            </w:tcBorders>
            <w:shd w:val="clear" w:color="auto" w:fill="auto"/>
            <w:noWrap/>
            <w:vAlign w:val="bottom"/>
            <w:hideMark/>
          </w:tcPr>
          <w:p w14:paraId="422D4011"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60.7%</w:t>
            </w:r>
          </w:p>
        </w:tc>
        <w:tc>
          <w:tcPr>
            <w:tcW w:w="1120" w:type="dxa"/>
            <w:tcBorders>
              <w:top w:val="nil"/>
              <w:left w:val="nil"/>
              <w:bottom w:val="single" w:sz="4" w:space="0" w:color="auto"/>
              <w:right w:val="single" w:sz="4" w:space="0" w:color="auto"/>
            </w:tcBorders>
            <w:shd w:val="clear" w:color="auto" w:fill="auto"/>
            <w:noWrap/>
            <w:vAlign w:val="bottom"/>
            <w:hideMark/>
          </w:tcPr>
          <w:p w14:paraId="5CFFAEEE"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478</w:t>
            </w:r>
          </w:p>
        </w:tc>
        <w:tc>
          <w:tcPr>
            <w:tcW w:w="1710" w:type="dxa"/>
            <w:tcBorders>
              <w:top w:val="nil"/>
              <w:left w:val="nil"/>
              <w:bottom w:val="single" w:sz="4" w:space="0" w:color="auto"/>
              <w:right w:val="single" w:sz="4" w:space="0" w:color="auto"/>
            </w:tcBorders>
            <w:shd w:val="clear" w:color="auto" w:fill="auto"/>
            <w:noWrap/>
            <w:vAlign w:val="bottom"/>
            <w:hideMark/>
          </w:tcPr>
          <w:p w14:paraId="57E6C9BC"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10.1%</w:t>
            </w:r>
          </w:p>
        </w:tc>
        <w:tc>
          <w:tcPr>
            <w:tcW w:w="1530" w:type="dxa"/>
            <w:tcBorders>
              <w:top w:val="nil"/>
              <w:left w:val="nil"/>
              <w:bottom w:val="single" w:sz="4" w:space="0" w:color="auto"/>
              <w:right w:val="single" w:sz="4" w:space="0" w:color="auto"/>
            </w:tcBorders>
            <w:shd w:val="clear" w:color="auto" w:fill="auto"/>
            <w:noWrap/>
            <w:vAlign w:val="bottom"/>
            <w:hideMark/>
          </w:tcPr>
          <w:p w14:paraId="4BD61301"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-0.7%</w:t>
            </w:r>
          </w:p>
        </w:tc>
      </w:tr>
      <w:tr w:rsidR="00B46AC0" w:rsidRPr="00B46AC0" w14:paraId="641F1405" w14:textId="77777777" w:rsidTr="002A5627">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201A90E0" w14:textId="5FB0E38E" w:rsidR="00B46AC0" w:rsidRPr="00B46AC0" w:rsidRDefault="00B46AC0" w:rsidP="00B46AC0">
            <w:pPr>
              <w:spacing w:after="0" w:line="240" w:lineRule="auto"/>
              <w:jc w:val="center"/>
              <w:rPr>
                <w:rFonts w:ascii="Calibri" w:eastAsia="Times New Roman" w:hAnsi="Calibri" w:cs="Calibri"/>
                <w:color w:val="000000"/>
                <w:sz w:val="20"/>
                <w:szCs w:val="20"/>
              </w:rPr>
            </w:pPr>
            <w:proofErr w:type="spellStart"/>
            <w:r w:rsidRPr="00B46AC0">
              <w:rPr>
                <w:rFonts w:ascii="Calibri" w:eastAsia="Times New Roman" w:hAnsi="Calibri" w:cs="Calibri"/>
                <w:color w:val="000000"/>
                <w:sz w:val="20"/>
                <w:szCs w:val="20"/>
              </w:rPr>
              <w:t>Comm</w:t>
            </w:r>
            <w:r w:rsidR="002A5627">
              <w:rPr>
                <w:rFonts w:ascii="Calibri" w:eastAsia="Times New Roman" w:hAnsi="Calibri" w:cs="Calibri"/>
                <w:color w:val="000000"/>
                <w:sz w:val="20"/>
                <w:szCs w:val="20"/>
              </w:rPr>
              <w:t>i</w:t>
            </w:r>
            <w:r w:rsidRPr="00B46AC0">
              <w:rPr>
                <w:rFonts w:ascii="Calibri" w:eastAsia="Times New Roman" w:hAnsi="Calibri" w:cs="Calibri"/>
                <w:color w:val="000000"/>
                <w:sz w:val="20"/>
                <w:szCs w:val="20"/>
              </w:rPr>
              <w:t>Care</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3634B0BA"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2,512</w:t>
            </w:r>
          </w:p>
        </w:tc>
        <w:tc>
          <w:tcPr>
            <w:tcW w:w="1420" w:type="dxa"/>
            <w:tcBorders>
              <w:top w:val="nil"/>
              <w:left w:val="nil"/>
              <w:bottom w:val="single" w:sz="4" w:space="0" w:color="auto"/>
              <w:right w:val="single" w:sz="4" w:space="0" w:color="auto"/>
            </w:tcBorders>
            <w:shd w:val="clear" w:color="auto" w:fill="auto"/>
            <w:noWrap/>
            <w:vAlign w:val="bottom"/>
            <w:hideMark/>
          </w:tcPr>
          <w:p w14:paraId="1E6C90C3"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71.4%</w:t>
            </w:r>
          </w:p>
        </w:tc>
        <w:tc>
          <w:tcPr>
            <w:tcW w:w="1120" w:type="dxa"/>
            <w:tcBorders>
              <w:top w:val="nil"/>
              <w:left w:val="nil"/>
              <w:bottom w:val="single" w:sz="4" w:space="0" w:color="auto"/>
              <w:right w:val="single" w:sz="4" w:space="0" w:color="auto"/>
            </w:tcBorders>
            <w:shd w:val="clear" w:color="auto" w:fill="auto"/>
            <w:noWrap/>
            <w:vAlign w:val="bottom"/>
            <w:hideMark/>
          </w:tcPr>
          <w:p w14:paraId="45FA3D5D"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277</w:t>
            </w:r>
          </w:p>
        </w:tc>
        <w:tc>
          <w:tcPr>
            <w:tcW w:w="1710" w:type="dxa"/>
            <w:tcBorders>
              <w:top w:val="nil"/>
              <w:left w:val="nil"/>
              <w:bottom w:val="single" w:sz="4" w:space="0" w:color="auto"/>
              <w:right w:val="single" w:sz="4" w:space="0" w:color="auto"/>
            </w:tcBorders>
            <w:shd w:val="clear" w:color="auto" w:fill="auto"/>
            <w:noWrap/>
            <w:vAlign w:val="bottom"/>
            <w:hideMark/>
          </w:tcPr>
          <w:p w14:paraId="2C10FF4A"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11.0%</w:t>
            </w:r>
          </w:p>
        </w:tc>
        <w:tc>
          <w:tcPr>
            <w:tcW w:w="1530" w:type="dxa"/>
            <w:tcBorders>
              <w:top w:val="nil"/>
              <w:left w:val="nil"/>
              <w:bottom w:val="single" w:sz="4" w:space="0" w:color="auto"/>
              <w:right w:val="single" w:sz="4" w:space="0" w:color="auto"/>
            </w:tcBorders>
            <w:shd w:val="clear" w:color="auto" w:fill="auto"/>
            <w:noWrap/>
            <w:vAlign w:val="bottom"/>
            <w:hideMark/>
          </w:tcPr>
          <w:p w14:paraId="231E7FF1"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-1.3%</w:t>
            </w:r>
          </w:p>
        </w:tc>
      </w:tr>
      <w:tr w:rsidR="00B46AC0" w:rsidRPr="00B46AC0" w14:paraId="6500833D" w14:textId="77777777" w:rsidTr="002A5627">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174FEAFF"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Winters</w:t>
            </w:r>
          </w:p>
        </w:tc>
        <w:tc>
          <w:tcPr>
            <w:tcW w:w="1420" w:type="dxa"/>
            <w:tcBorders>
              <w:top w:val="nil"/>
              <w:left w:val="nil"/>
              <w:bottom w:val="single" w:sz="4" w:space="0" w:color="auto"/>
              <w:right w:val="single" w:sz="4" w:space="0" w:color="auto"/>
            </w:tcBorders>
            <w:shd w:val="clear" w:color="auto" w:fill="auto"/>
            <w:noWrap/>
            <w:vAlign w:val="bottom"/>
            <w:hideMark/>
          </w:tcPr>
          <w:p w14:paraId="6FF6F0AE"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345</w:t>
            </w:r>
          </w:p>
        </w:tc>
        <w:tc>
          <w:tcPr>
            <w:tcW w:w="1420" w:type="dxa"/>
            <w:tcBorders>
              <w:top w:val="nil"/>
              <w:left w:val="nil"/>
              <w:bottom w:val="single" w:sz="4" w:space="0" w:color="auto"/>
              <w:right w:val="single" w:sz="4" w:space="0" w:color="auto"/>
            </w:tcBorders>
            <w:shd w:val="clear" w:color="auto" w:fill="auto"/>
            <w:noWrap/>
            <w:vAlign w:val="bottom"/>
            <w:hideMark/>
          </w:tcPr>
          <w:p w14:paraId="6F7C3E51"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65.5%</w:t>
            </w:r>
          </w:p>
        </w:tc>
        <w:tc>
          <w:tcPr>
            <w:tcW w:w="1120" w:type="dxa"/>
            <w:tcBorders>
              <w:top w:val="nil"/>
              <w:left w:val="nil"/>
              <w:bottom w:val="single" w:sz="4" w:space="0" w:color="auto"/>
              <w:right w:val="single" w:sz="4" w:space="0" w:color="auto"/>
            </w:tcBorders>
            <w:shd w:val="clear" w:color="auto" w:fill="auto"/>
            <w:noWrap/>
            <w:vAlign w:val="bottom"/>
            <w:hideMark/>
          </w:tcPr>
          <w:p w14:paraId="0C6F940D"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23</w:t>
            </w:r>
          </w:p>
        </w:tc>
        <w:tc>
          <w:tcPr>
            <w:tcW w:w="1710" w:type="dxa"/>
            <w:tcBorders>
              <w:top w:val="nil"/>
              <w:left w:val="nil"/>
              <w:bottom w:val="single" w:sz="4" w:space="0" w:color="auto"/>
              <w:right w:val="single" w:sz="4" w:space="0" w:color="auto"/>
            </w:tcBorders>
            <w:shd w:val="clear" w:color="auto" w:fill="auto"/>
            <w:noWrap/>
            <w:vAlign w:val="bottom"/>
            <w:hideMark/>
          </w:tcPr>
          <w:p w14:paraId="2F8F7C7B"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6.7%</w:t>
            </w:r>
          </w:p>
        </w:tc>
        <w:tc>
          <w:tcPr>
            <w:tcW w:w="1530" w:type="dxa"/>
            <w:tcBorders>
              <w:top w:val="nil"/>
              <w:left w:val="nil"/>
              <w:bottom w:val="single" w:sz="4" w:space="0" w:color="auto"/>
              <w:right w:val="single" w:sz="4" w:space="0" w:color="auto"/>
            </w:tcBorders>
            <w:shd w:val="clear" w:color="auto" w:fill="auto"/>
            <w:noWrap/>
            <w:vAlign w:val="bottom"/>
            <w:hideMark/>
          </w:tcPr>
          <w:p w14:paraId="2EA758A5"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-1.1%</w:t>
            </w:r>
          </w:p>
        </w:tc>
      </w:tr>
      <w:tr w:rsidR="00B46AC0" w:rsidRPr="00B46AC0" w14:paraId="4D235B94" w14:textId="77777777" w:rsidTr="002A5627">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5FB79812"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Coastal</w:t>
            </w:r>
          </w:p>
        </w:tc>
        <w:tc>
          <w:tcPr>
            <w:tcW w:w="1420" w:type="dxa"/>
            <w:tcBorders>
              <w:top w:val="nil"/>
              <w:left w:val="nil"/>
              <w:bottom w:val="single" w:sz="4" w:space="0" w:color="auto"/>
              <w:right w:val="single" w:sz="4" w:space="0" w:color="auto"/>
            </w:tcBorders>
            <w:shd w:val="clear" w:color="auto" w:fill="auto"/>
            <w:noWrap/>
            <w:vAlign w:val="bottom"/>
            <w:hideMark/>
          </w:tcPr>
          <w:p w14:paraId="2151CD5F"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623</w:t>
            </w:r>
          </w:p>
        </w:tc>
        <w:tc>
          <w:tcPr>
            <w:tcW w:w="1420" w:type="dxa"/>
            <w:tcBorders>
              <w:top w:val="nil"/>
              <w:left w:val="nil"/>
              <w:bottom w:val="single" w:sz="4" w:space="0" w:color="auto"/>
              <w:right w:val="single" w:sz="4" w:space="0" w:color="auto"/>
            </w:tcBorders>
            <w:shd w:val="clear" w:color="auto" w:fill="auto"/>
            <w:noWrap/>
            <w:vAlign w:val="bottom"/>
            <w:hideMark/>
          </w:tcPr>
          <w:p w14:paraId="5A407F64"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67.6%</w:t>
            </w:r>
          </w:p>
        </w:tc>
        <w:tc>
          <w:tcPr>
            <w:tcW w:w="1120" w:type="dxa"/>
            <w:tcBorders>
              <w:top w:val="nil"/>
              <w:left w:val="nil"/>
              <w:bottom w:val="single" w:sz="4" w:space="0" w:color="auto"/>
              <w:right w:val="single" w:sz="4" w:space="0" w:color="auto"/>
            </w:tcBorders>
            <w:shd w:val="clear" w:color="auto" w:fill="auto"/>
            <w:noWrap/>
            <w:vAlign w:val="bottom"/>
            <w:hideMark/>
          </w:tcPr>
          <w:p w14:paraId="7763FCE9"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45</w:t>
            </w:r>
          </w:p>
        </w:tc>
        <w:tc>
          <w:tcPr>
            <w:tcW w:w="1710" w:type="dxa"/>
            <w:tcBorders>
              <w:top w:val="nil"/>
              <w:left w:val="nil"/>
              <w:bottom w:val="single" w:sz="4" w:space="0" w:color="auto"/>
              <w:right w:val="single" w:sz="4" w:space="0" w:color="auto"/>
            </w:tcBorders>
            <w:shd w:val="clear" w:color="auto" w:fill="auto"/>
            <w:noWrap/>
            <w:vAlign w:val="bottom"/>
            <w:hideMark/>
          </w:tcPr>
          <w:p w14:paraId="51EA71D3"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7.2%</w:t>
            </w:r>
          </w:p>
        </w:tc>
        <w:tc>
          <w:tcPr>
            <w:tcW w:w="1530" w:type="dxa"/>
            <w:tcBorders>
              <w:top w:val="nil"/>
              <w:left w:val="nil"/>
              <w:bottom w:val="single" w:sz="4" w:space="0" w:color="auto"/>
              <w:right w:val="single" w:sz="4" w:space="0" w:color="auto"/>
            </w:tcBorders>
            <w:shd w:val="clear" w:color="auto" w:fill="auto"/>
            <w:noWrap/>
            <w:vAlign w:val="bottom"/>
            <w:hideMark/>
          </w:tcPr>
          <w:p w14:paraId="2A1D9D2C"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-1.1%</w:t>
            </w:r>
          </w:p>
        </w:tc>
      </w:tr>
      <w:tr w:rsidR="00B46AC0" w:rsidRPr="00B46AC0" w14:paraId="10B7B0C9" w14:textId="77777777" w:rsidTr="002A5627">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607D1840"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Alex Valley</w:t>
            </w:r>
          </w:p>
        </w:tc>
        <w:tc>
          <w:tcPr>
            <w:tcW w:w="1420" w:type="dxa"/>
            <w:tcBorders>
              <w:top w:val="nil"/>
              <w:left w:val="nil"/>
              <w:bottom w:val="single" w:sz="4" w:space="0" w:color="auto"/>
              <w:right w:val="single" w:sz="4" w:space="0" w:color="auto"/>
            </w:tcBorders>
            <w:shd w:val="clear" w:color="auto" w:fill="auto"/>
            <w:noWrap/>
            <w:vAlign w:val="bottom"/>
            <w:hideMark/>
          </w:tcPr>
          <w:p w14:paraId="3A184723"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565</w:t>
            </w:r>
          </w:p>
        </w:tc>
        <w:tc>
          <w:tcPr>
            <w:tcW w:w="1420" w:type="dxa"/>
            <w:tcBorders>
              <w:top w:val="nil"/>
              <w:left w:val="nil"/>
              <w:bottom w:val="single" w:sz="4" w:space="0" w:color="auto"/>
              <w:right w:val="single" w:sz="4" w:space="0" w:color="auto"/>
            </w:tcBorders>
            <w:shd w:val="clear" w:color="auto" w:fill="auto"/>
            <w:noWrap/>
            <w:vAlign w:val="bottom"/>
            <w:hideMark/>
          </w:tcPr>
          <w:p w14:paraId="506DD52B"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82.7%</w:t>
            </w:r>
          </w:p>
        </w:tc>
        <w:tc>
          <w:tcPr>
            <w:tcW w:w="1120" w:type="dxa"/>
            <w:tcBorders>
              <w:top w:val="nil"/>
              <w:left w:val="nil"/>
              <w:bottom w:val="single" w:sz="4" w:space="0" w:color="auto"/>
              <w:right w:val="single" w:sz="4" w:space="0" w:color="auto"/>
            </w:tcBorders>
            <w:shd w:val="clear" w:color="auto" w:fill="auto"/>
            <w:noWrap/>
            <w:vAlign w:val="bottom"/>
            <w:hideMark/>
          </w:tcPr>
          <w:p w14:paraId="2097A917"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38</w:t>
            </w:r>
          </w:p>
        </w:tc>
        <w:tc>
          <w:tcPr>
            <w:tcW w:w="1710" w:type="dxa"/>
            <w:tcBorders>
              <w:top w:val="nil"/>
              <w:left w:val="nil"/>
              <w:bottom w:val="single" w:sz="4" w:space="0" w:color="auto"/>
              <w:right w:val="single" w:sz="4" w:space="0" w:color="auto"/>
            </w:tcBorders>
            <w:shd w:val="clear" w:color="auto" w:fill="auto"/>
            <w:noWrap/>
            <w:vAlign w:val="bottom"/>
            <w:hideMark/>
          </w:tcPr>
          <w:p w14:paraId="753EA25B"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6.7%</w:t>
            </w:r>
          </w:p>
        </w:tc>
        <w:tc>
          <w:tcPr>
            <w:tcW w:w="1530" w:type="dxa"/>
            <w:tcBorders>
              <w:top w:val="nil"/>
              <w:left w:val="nil"/>
              <w:bottom w:val="single" w:sz="4" w:space="0" w:color="auto"/>
              <w:right w:val="single" w:sz="4" w:space="0" w:color="auto"/>
            </w:tcBorders>
            <w:shd w:val="clear" w:color="auto" w:fill="auto"/>
            <w:noWrap/>
            <w:vAlign w:val="bottom"/>
            <w:hideMark/>
          </w:tcPr>
          <w:p w14:paraId="7EE77670"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-0.1%</w:t>
            </w:r>
          </w:p>
        </w:tc>
      </w:tr>
      <w:tr w:rsidR="00B46AC0" w:rsidRPr="00B46AC0" w14:paraId="17ECD2DB" w14:textId="77777777" w:rsidTr="002A5627">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7205B980"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Ritter</w:t>
            </w:r>
          </w:p>
        </w:tc>
        <w:tc>
          <w:tcPr>
            <w:tcW w:w="1420" w:type="dxa"/>
            <w:tcBorders>
              <w:top w:val="nil"/>
              <w:left w:val="nil"/>
              <w:bottom w:val="single" w:sz="4" w:space="0" w:color="auto"/>
              <w:right w:val="single" w:sz="4" w:space="0" w:color="auto"/>
            </w:tcBorders>
            <w:shd w:val="clear" w:color="auto" w:fill="auto"/>
            <w:noWrap/>
            <w:vAlign w:val="bottom"/>
            <w:hideMark/>
          </w:tcPr>
          <w:p w14:paraId="60AA6353"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206</w:t>
            </w:r>
          </w:p>
        </w:tc>
        <w:tc>
          <w:tcPr>
            <w:tcW w:w="1420" w:type="dxa"/>
            <w:tcBorders>
              <w:top w:val="nil"/>
              <w:left w:val="nil"/>
              <w:bottom w:val="single" w:sz="4" w:space="0" w:color="auto"/>
              <w:right w:val="single" w:sz="4" w:space="0" w:color="auto"/>
            </w:tcBorders>
            <w:shd w:val="clear" w:color="auto" w:fill="auto"/>
            <w:noWrap/>
            <w:vAlign w:val="bottom"/>
            <w:hideMark/>
          </w:tcPr>
          <w:p w14:paraId="03B162DD"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58.7%</w:t>
            </w:r>
          </w:p>
        </w:tc>
        <w:tc>
          <w:tcPr>
            <w:tcW w:w="1120" w:type="dxa"/>
            <w:tcBorders>
              <w:top w:val="nil"/>
              <w:left w:val="nil"/>
              <w:bottom w:val="single" w:sz="4" w:space="0" w:color="auto"/>
              <w:right w:val="single" w:sz="4" w:space="0" w:color="auto"/>
            </w:tcBorders>
            <w:shd w:val="clear" w:color="auto" w:fill="auto"/>
            <w:noWrap/>
            <w:vAlign w:val="bottom"/>
            <w:hideMark/>
          </w:tcPr>
          <w:p w14:paraId="472A677D"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35</w:t>
            </w:r>
          </w:p>
        </w:tc>
        <w:tc>
          <w:tcPr>
            <w:tcW w:w="1710" w:type="dxa"/>
            <w:tcBorders>
              <w:top w:val="nil"/>
              <w:left w:val="nil"/>
              <w:bottom w:val="single" w:sz="4" w:space="0" w:color="auto"/>
              <w:right w:val="single" w:sz="4" w:space="0" w:color="auto"/>
            </w:tcBorders>
            <w:shd w:val="clear" w:color="auto" w:fill="auto"/>
            <w:noWrap/>
            <w:vAlign w:val="bottom"/>
            <w:hideMark/>
          </w:tcPr>
          <w:p w14:paraId="40D110E2"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17.0%</w:t>
            </w:r>
          </w:p>
        </w:tc>
        <w:tc>
          <w:tcPr>
            <w:tcW w:w="1530" w:type="dxa"/>
            <w:tcBorders>
              <w:top w:val="nil"/>
              <w:left w:val="nil"/>
              <w:bottom w:val="single" w:sz="4" w:space="0" w:color="auto"/>
              <w:right w:val="single" w:sz="4" w:space="0" w:color="auto"/>
            </w:tcBorders>
            <w:shd w:val="clear" w:color="auto" w:fill="auto"/>
            <w:noWrap/>
            <w:vAlign w:val="bottom"/>
            <w:hideMark/>
          </w:tcPr>
          <w:p w14:paraId="2F818C36"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-1.5%</w:t>
            </w:r>
          </w:p>
        </w:tc>
      </w:tr>
      <w:tr w:rsidR="00B46AC0" w:rsidRPr="00B46AC0" w14:paraId="7E4D9CD5" w14:textId="77777777" w:rsidTr="002A5627">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7361C9DD"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Marin City</w:t>
            </w:r>
          </w:p>
        </w:tc>
        <w:tc>
          <w:tcPr>
            <w:tcW w:w="1420" w:type="dxa"/>
            <w:tcBorders>
              <w:top w:val="nil"/>
              <w:left w:val="nil"/>
              <w:bottom w:val="single" w:sz="4" w:space="0" w:color="auto"/>
              <w:right w:val="single" w:sz="4" w:space="0" w:color="auto"/>
            </w:tcBorders>
            <w:shd w:val="clear" w:color="auto" w:fill="auto"/>
            <w:noWrap/>
            <w:vAlign w:val="bottom"/>
            <w:hideMark/>
          </w:tcPr>
          <w:p w14:paraId="098A06DE"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327</w:t>
            </w:r>
          </w:p>
        </w:tc>
        <w:tc>
          <w:tcPr>
            <w:tcW w:w="1420" w:type="dxa"/>
            <w:tcBorders>
              <w:top w:val="nil"/>
              <w:left w:val="nil"/>
              <w:bottom w:val="single" w:sz="4" w:space="0" w:color="auto"/>
              <w:right w:val="single" w:sz="4" w:space="0" w:color="auto"/>
            </w:tcBorders>
            <w:shd w:val="clear" w:color="auto" w:fill="auto"/>
            <w:noWrap/>
            <w:vAlign w:val="bottom"/>
            <w:hideMark/>
          </w:tcPr>
          <w:p w14:paraId="0F363590"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67.3%</w:t>
            </w:r>
          </w:p>
        </w:tc>
        <w:tc>
          <w:tcPr>
            <w:tcW w:w="1120" w:type="dxa"/>
            <w:tcBorders>
              <w:top w:val="nil"/>
              <w:left w:val="nil"/>
              <w:bottom w:val="single" w:sz="4" w:space="0" w:color="auto"/>
              <w:right w:val="single" w:sz="4" w:space="0" w:color="auto"/>
            </w:tcBorders>
            <w:shd w:val="clear" w:color="auto" w:fill="auto"/>
            <w:noWrap/>
            <w:vAlign w:val="bottom"/>
            <w:hideMark/>
          </w:tcPr>
          <w:p w14:paraId="2DB190A8"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59</w:t>
            </w:r>
          </w:p>
        </w:tc>
        <w:tc>
          <w:tcPr>
            <w:tcW w:w="1710" w:type="dxa"/>
            <w:tcBorders>
              <w:top w:val="nil"/>
              <w:left w:val="nil"/>
              <w:bottom w:val="single" w:sz="4" w:space="0" w:color="auto"/>
              <w:right w:val="single" w:sz="4" w:space="0" w:color="auto"/>
            </w:tcBorders>
            <w:shd w:val="clear" w:color="auto" w:fill="auto"/>
            <w:noWrap/>
            <w:vAlign w:val="bottom"/>
            <w:hideMark/>
          </w:tcPr>
          <w:p w14:paraId="1007517B"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18.0%</w:t>
            </w:r>
          </w:p>
        </w:tc>
        <w:tc>
          <w:tcPr>
            <w:tcW w:w="1530" w:type="dxa"/>
            <w:tcBorders>
              <w:top w:val="nil"/>
              <w:left w:val="nil"/>
              <w:bottom w:val="single" w:sz="4" w:space="0" w:color="auto"/>
              <w:right w:val="single" w:sz="4" w:space="0" w:color="auto"/>
            </w:tcBorders>
            <w:shd w:val="clear" w:color="auto" w:fill="auto"/>
            <w:noWrap/>
            <w:vAlign w:val="bottom"/>
            <w:hideMark/>
          </w:tcPr>
          <w:p w14:paraId="03CD8400"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-2.8%</w:t>
            </w:r>
          </w:p>
        </w:tc>
      </w:tr>
      <w:tr w:rsidR="00B46AC0" w:rsidRPr="00B46AC0" w14:paraId="3F52091B" w14:textId="77777777" w:rsidTr="002A5627">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0286975C"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Marin Community</w:t>
            </w:r>
          </w:p>
        </w:tc>
        <w:tc>
          <w:tcPr>
            <w:tcW w:w="1420" w:type="dxa"/>
            <w:tcBorders>
              <w:top w:val="nil"/>
              <w:left w:val="nil"/>
              <w:bottom w:val="single" w:sz="4" w:space="0" w:color="auto"/>
              <w:right w:val="single" w:sz="4" w:space="0" w:color="auto"/>
            </w:tcBorders>
            <w:shd w:val="clear" w:color="auto" w:fill="auto"/>
            <w:noWrap/>
            <w:vAlign w:val="bottom"/>
            <w:hideMark/>
          </w:tcPr>
          <w:p w14:paraId="00696131"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4,078</w:t>
            </w:r>
          </w:p>
        </w:tc>
        <w:tc>
          <w:tcPr>
            <w:tcW w:w="1420" w:type="dxa"/>
            <w:tcBorders>
              <w:top w:val="nil"/>
              <w:left w:val="nil"/>
              <w:bottom w:val="single" w:sz="4" w:space="0" w:color="auto"/>
              <w:right w:val="single" w:sz="4" w:space="0" w:color="auto"/>
            </w:tcBorders>
            <w:shd w:val="clear" w:color="auto" w:fill="auto"/>
            <w:noWrap/>
            <w:vAlign w:val="bottom"/>
            <w:hideMark/>
          </w:tcPr>
          <w:p w14:paraId="65C25431"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72.6%</w:t>
            </w:r>
          </w:p>
        </w:tc>
        <w:tc>
          <w:tcPr>
            <w:tcW w:w="1120" w:type="dxa"/>
            <w:tcBorders>
              <w:top w:val="nil"/>
              <w:left w:val="nil"/>
              <w:bottom w:val="single" w:sz="4" w:space="0" w:color="auto"/>
              <w:right w:val="single" w:sz="4" w:space="0" w:color="auto"/>
            </w:tcBorders>
            <w:shd w:val="clear" w:color="auto" w:fill="auto"/>
            <w:noWrap/>
            <w:vAlign w:val="bottom"/>
            <w:hideMark/>
          </w:tcPr>
          <w:p w14:paraId="6B24BFE6"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367</w:t>
            </w:r>
          </w:p>
        </w:tc>
        <w:tc>
          <w:tcPr>
            <w:tcW w:w="1710" w:type="dxa"/>
            <w:tcBorders>
              <w:top w:val="nil"/>
              <w:left w:val="nil"/>
              <w:bottom w:val="single" w:sz="4" w:space="0" w:color="auto"/>
              <w:right w:val="single" w:sz="4" w:space="0" w:color="auto"/>
            </w:tcBorders>
            <w:shd w:val="clear" w:color="auto" w:fill="auto"/>
            <w:noWrap/>
            <w:vAlign w:val="bottom"/>
            <w:hideMark/>
          </w:tcPr>
          <w:p w14:paraId="7BE2BDE8"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9.0%</w:t>
            </w:r>
          </w:p>
        </w:tc>
        <w:tc>
          <w:tcPr>
            <w:tcW w:w="1530" w:type="dxa"/>
            <w:tcBorders>
              <w:top w:val="nil"/>
              <w:left w:val="nil"/>
              <w:bottom w:val="single" w:sz="4" w:space="0" w:color="auto"/>
              <w:right w:val="single" w:sz="4" w:space="0" w:color="auto"/>
            </w:tcBorders>
            <w:shd w:val="clear" w:color="auto" w:fill="auto"/>
            <w:noWrap/>
            <w:vAlign w:val="bottom"/>
            <w:hideMark/>
          </w:tcPr>
          <w:p w14:paraId="449C6817"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-1.7%</w:t>
            </w:r>
          </w:p>
        </w:tc>
      </w:tr>
      <w:tr w:rsidR="00B46AC0" w:rsidRPr="00B46AC0" w14:paraId="15D74AE4" w14:textId="77777777" w:rsidTr="002A5627">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493426FA"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Sonoma Valley</w:t>
            </w:r>
          </w:p>
        </w:tc>
        <w:tc>
          <w:tcPr>
            <w:tcW w:w="1420" w:type="dxa"/>
            <w:tcBorders>
              <w:top w:val="nil"/>
              <w:left w:val="nil"/>
              <w:bottom w:val="single" w:sz="4" w:space="0" w:color="auto"/>
              <w:right w:val="single" w:sz="4" w:space="0" w:color="auto"/>
            </w:tcBorders>
            <w:shd w:val="clear" w:color="auto" w:fill="auto"/>
            <w:noWrap/>
            <w:vAlign w:val="bottom"/>
            <w:hideMark/>
          </w:tcPr>
          <w:p w14:paraId="70C81A50"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1,274</w:t>
            </w:r>
          </w:p>
        </w:tc>
        <w:tc>
          <w:tcPr>
            <w:tcW w:w="1420" w:type="dxa"/>
            <w:tcBorders>
              <w:top w:val="nil"/>
              <w:left w:val="nil"/>
              <w:bottom w:val="single" w:sz="4" w:space="0" w:color="auto"/>
              <w:right w:val="single" w:sz="4" w:space="0" w:color="auto"/>
            </w:tcBorders>
            <w:shd w:val="clear" w:color="auto" w:fill="auto"/>
            <w:noWrap/>
            <w:vAlign w:val="bottom"/>
            <w:hideMark/>
          </w:tcPr>
          <w:p w14:paraId="47A65291"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71.1%</w:t>
            </w:r>
          </w:p>
        </w:tc>
        <w:tc>
          <w:tcPr>
            <w:tcW w:w="1120" w:type="dxa"/>
            <w:tcBorders>
              <w:top w:val="nil"/>
              <w:left w:val="nil"/>
              <w:bottom w:val="single" w:sz="4" w:space="0" w:color="auto"/>
              <w:right w:val="single" w:sz="4" w:space="0" w:color="auto"/>
            </w:tcBorders>
            <w:shd w:val="clear" w:color="auto" w:fill="auto"/>
            <w:noWrap/>
            <w:vAlign w:val="bottom"/>
            <w:hideMark/>
          </w:tcPr>
          <w:p w14:paraId="52BA66E8"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80</w:t>
            </w:r>
          </w:p>
        </w:tc>
        <w:tc>
          <w:tcPr>
            <w:tcW w:w="1710" w:type="dxa"/>
            <w:tcBorders>
              <w:top w:val="nil"/>
              <w:left w:val="nil"/>
              <w:bottom w:val="single" w:sz="4" w:space="0" w:color="auto"/>
              <w:right w:val="single" w:sz="4" w:space="0" w:color="auto"/>
            </w:tcBorders>
            <w:shd w:val="clear" w:color="auto" w:fill="auto"/>
            <w:noWrap/>
            <w:vAlign w:val="bottom"/>
            <w:hideMark/>
          </w:tcPr>
          <w:p w14:paraId="540AB124"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6.3%</w:t>
            </w:r>
          </w:p>
        </w:tc>
        <w:tc>
          <w:tcPr>
            <w:tcW w:w="1530" w:type="dxa"/>
            <w:tcBorders>
              <w:top w:val="nil"/>
              <w:left w:val="nil"/>
              <w:bottom w:val="single" w:sz="4" w:space="0" w:color="auto"/>
              <w:right w:val="single" w:sz="4" w:space="0" w:color="auto"/>
            </w:tcBorders>
            <w:shd w:val="clear" w:color="auto" w:fill="auto"/>
            <w:noWrap/>
            <w:vAlign w:val="bottom"/>
            <w:hideMark/>
          </w:tcPr>
          <w:p w14:paraId="393A8A45"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-0.4%</w:t>
            </w:r>
          </w:p>
        </w:tc>
      </w:tr>
      <w:tr w:rsidR="00B46AC0" w:rsidRPr="00B46AC0" w14:paraId="60E3FA67" w14:textId="77777777" w:rsidTr="002A5627">
        <w:trPr>
          <w:trHeight w:val="300"/>
        </w:trPr>
        <w:tc>
          <w:tcPr>
            <w:tcW w:w="1885" w:type="dxa"/>
            <w:tcBorders>
              <w:top w:val="nil"/>
              <w:left w:val="single" w:sz="4" w:space="0" w:color="auto"/>
              <w:bottom w:val="single" w:sz="4" w:space="0" w:color="auto"/>
              <w:right w:val="single" w:sz="4" w:space="0" w:color="auto"/>
            </w:tcBorders>
            <w:shd w:val="clear" w:color="auto" w:fill="auto"/>
            <w:noWrap/>
            <w:vAlign w:val="bottom"/>
            <w:hideMark/>
          </w:tcPr>
          <w:p w14:paraId="7F60CDCA"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SCHIP</w:t>
            </w:r>
          </w:p>
        </w:tc>
        <w:tc>
          <w:tcPr>
            <w:tcW w:w="1420" w:type="dxa"/>
            <w:tcBorders>
              <w:top w:val="nil"/>
              <w:left w:val="nil"/>
              <w:bottom w:val="single" w:sz="4" w:space="0" w:color="auto"/>
              <w:right w:val="single" w:sz="4" w:space="0" w:color="auto"/>
            </w:tcBorders>
            <w:shd w:val="clear" w:color="auto" w:fill="auto"/>
            <w:noWrap/>
            <w:vAlign w:val="bottom"/>
            <w:hideMark/>
          </w:tcPr>
          <w:p w14:paraId="3FC3AABB"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726</w:t>
            </w:r>
          </w:p>
        </w:tc>
        <w:tc>
          <w:tcPr>
            <w:tcW w:w="1420" w:type="dxa"/>
            <w:tcBorders>
              <w:top w:val="nil"/>
              <w:left w:val="nil"/>
              <w:bottom w:val="single" w:sz="4" w:space="0" w:color="auto"/>
              <w:right w:val="single" w:sz="4" w:space="0" w:color="auto"/>
            </w:tcBorders>
            <w:shd w:val="clear" w:color="auto" w:fill="auto"/>
            <w:noWrap/>
            <w:vAlign w:val="bottom"/>
            <w:hideMark/>
          </w:tcPr>
          <w:p w14:paraId="50799496"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60.3%</w:t>
            </w:r>
          </w:p>
        </w:tc>
        <w:tc>
          <w:tcPr>
            <w:tcW w:w="1120" w:type="dxa"/>
            <w:tcBorders>
              <w:top w:val="nil"/>
              <w:left w:val="nil"/>
              <w:bottom w:val="single" w:sz="4" w:space="0" w:color="auto"/>
              <w:right w:val="single" w:sz="4" w:space="0" w:color="auto"/>
            </w:tcBorders>
            <w:shd w:val="clear" w:color="auto" w:fill="auto"/>
            <w:noWrap/>
            <w:vAlign w:val="bottom"/>
            <w:hideMark/>
          </w:tcPr>
          <w:p w14:paraId="6346115C"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51</w:t>
            </w:r>
          </w:p>
        </w:tc>
        <w:tc>
          <w:tcPr>
            <w:tcW w:w="1710" w:type="dxa"/>
            <w:tcBorders>
              <w:top w:val="nil"/>
              <w:left w:val="nil"/>
              <w:bottom w:val="single" w:sz="4" w:space="0" w:color="auto"/>
              <w:right w:val="single" w:sz="4" w:space="0" w:color="auto"/>
            </w:tcBorders>
            <w:shd w:val="clear" w:color="auto" w:fill="auto"/>
            <w:noWrap/>
            <w:vAlign w:val="bottom"/>
            <w:hideMark/>
          </w:tcPr>
          <w:p w14:paraId="1214F295"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7.0%</w:t>
            </w:r>
          </w:p>
        </w:tc>
        <w:tc>
          <w:tcPr>
            <w:tcW w:w="1530" w:type="dxa"/>
            <w:tcBorders>
              <w:top w:val="nil"/>
              <w:left w:val="nil"/>
              <w:bottom w:val="single" w:sz="4" w:space="0" w:color="auto"/>
              <w:right w:val="single" w:sz="4" w:space="0" w:color="auto"/>
            </w:tcBorders>
            <w:shd w:val="clear" w:color="auto" w:fill="auto"/>
            <w:noWrap/>
            <w:vAlign w:val="bottom"/>
            <w:hideMark/>
          </w:tcPr>
          <w:p w14:paraId="48AAF0C8"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-0.9%</w:t>
            </w:r>
          </w:p>
        </w:tc>
      </w:tr>
      <w:tr w:rsidR="00B46AC0" w:rsidRPr="00B46AC0" w14:paraId="03930906" w14:textId="77777777" w:rsidTr="002A5627">
        <w:trPr>
          <w:trHeight w:val="300"/>
        </w:trPr>
        <w:tc>
          <w:tcPr>
            <w:tcW w:w="1885" w:type="dxa"/>
            <w:tcBorders>
              <w:top w:val="nil"/>
              <w:left w:val="nil"/>
              <w:bottom w:val="nil"/>
              <w:right w:val="nil"/>
            </w:tcBorders>
            <w:shd w:val="clear" w:color="auto" w:fill="auto"/>
            <w:noWrap/>
            <w:vAlign w:val="bottom"/>
            <w:hideMark/>
          </w:tcPr>
          <w:p w14:paraId="250A21C7"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All RCHC</w:t>
            </w:r>
          </w:p>
        </w:tc>
        <w:tc>
          <w:tcPr>
            <w:tcW w:w="1420" w:type="dxa"/>
            <w:tcBorders>
              <w:top w:val="nil"/>
              <w:left w:val="nil"/>
              <w:bottom w:val="nil"/>
              <w:right w:val="nil"/>
            </w:tcBorders>
            <w:shd w:val="clear" w:color="auto" w:fill="auto"/>
            <w:noWrap/>
            <w:vAlign w:val="bottom"/>
            <w:hideMark/>
          </w:tcPr>
          <w:p w14:paraId="10BE9966"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25,437</w:t>
            </w:r>
          </w:p>
        </w:tc>
        <w:tc>
          <w:tcPr>
            <w:tcW w:w="1420" w:type="dxa"/>
            <w:tcBorders>
              <w:top w:val="nil"/>
              <w:left w:val="nil"/>
              <w:bottom w:val="nil"/>
              <w:right w:val="nil"/>
            </w:tcBorders>
            <w:shd w:val="clear" w:color="auto" w:fill="auto"/>
            <w:noWrap/>
            <w:vAlign w:val="bottom"/>
            <w:hideMark/>
          </w:tcPr>
          <w:p w14:paraId="7B0FAA2E"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68.7%</w:t>
            </w:r>
          </w:p>
        </w:tc>
        <w:tc>
          <w:tcPr>
            <w:tcW w:w="1120" w:type="dxa"/>
            <w:tcBorders>
              <w:top w:val="nil"/>
              <w:left w:val="nil"/>
              <w:bottom w:val="nil"/>
              <w:right w:val="nil"/>
            </w:tcBorders>
            <w:shd w:val="clear" w:color="auto" w:fill="auto"/>
            <w:noWrap/>
            <w:vAlign w:val="bottom"/>
            <w:hideMark/>
          </w:tcPr>
          <w:p w14:paraId="23009588"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2,389</w:t>
            </w:r>
          </w:p>
        </w:tc>
        <w:tc>
          <w:tcPr>
            <w:tcW w:w="1710" w:type="dxa"/>
            <w:tcBorders>
              <w:top w:val="nil"/>
              <w:left w:val="nil"/>
              <w:bottom w:val="nil"/>
              <w:right w:val="nil"/>
            </w:tcBorders>
            <w:shd w:val="clear" w:color="auto" w:fill="auto"/>
            <w:noWrap/>
            <w:vAlign w:val="bottom"/>
            <w:hideMark/>
          </w:tcPr>
          <w:p w14:paraId="68754EC2"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9.4%</w:t>
            </w:r>
          </w:p>
        </w:tc>
        <w:tc>
          <w:tcPr>
            <w:tcW w:w="1530" w:type="dxa"/>
            <w:tcBorders>
              <w:top w:val="nil"/>
              <w:left w:val="nil"/>
              <w:bottom w:val="nil"/>
              <w:right w:val="nil"/>
            </w:tcBorders>
            <w:shd w:val="clear" w:color="auto" w:fill="auto"/>
            <w:noWrap/>
            <w:vAlign w:val="bottom"/>
            <w:hideMark/>
          </w:tcPr>
          <w:p w14:paraId="775B45D6" w14:textId="77777777" w:rsidR="00B46AC0" w:rsidRPr="00B46AC0" w:rsidRDefault="00B46AC0" w:rsidP="00B46AC0">
            <w:pPr>
              <w:spacing w:after="0" w:line="240" w:lineRule="auto"/>
              <w:jc w:val="center"/>
              <w:rPr>
                <w:rFonts w:ascii="Calibri" w:eastAsia="Times New Roman" w:hAnsi="Calibri" w:cs="Calibri"/>
                <w:color w:val="000000"/>
                <w:sz w:val="20"/>
                <w:szCs w:val="20"/>
              </w:rPr>
            </w:pPr>
            <w:r w:rsidRPr="00B46AC0">
              <w:rPr>
                <w:rFonts w:ascii="Calibri" w:eastAsia="Times New Roman" w:hAnsi="Calibri" w:cs="Calibri"/>
                <w:color w:val="000000"/>
                <w:sz w:val="20"/>
                <w:szCs w:val="20"/>
              </w:rPr>
              <w:t>-1.2%</w:t>
            </w:r>
          </w:p>
        </w:tc>
      </w:tr>
    </w:tbl>
    <w:p w14:paraId="7D1A0471" w14:textId="1192FD48" w:rsidR="00B46AC0" w:rsidRDefault="00B46AC0" w:rsidP="006C101B">
      <w:pPr>
        <w:spacing w:after="0"/>
      </w:pPr>
    </w:p>
    <w:p w14:paraId="4F0B7218" w14:textId="0524F2BE" w:rsidR="00A20FE3" w:rsidRDefault="00A20FE3" w:rsidP="006C101B">
      <w:pPr>
        <w:spacing w:after="0"/>
      </w:pPr>
    </w:p>
    <w:p w14:paraId="3DA015CB" w14:textId="42549345" w:rsidR="00A20FE3" w:rsidRPr="008772AA" w:rsidRDefault="00A667E9" w:rsidP="00A20FE3">
      <w:pPr>
        <w:pStyle w:val="ListParagraph"/>
        <w:numPr>
          <w:ilvl w:val="0"/>
          <w:numId w:val="1"/>
        </w:numPr>
        <w:spacing w:after="0"/>
        <w:rPr>
          <w:b/>
          <w:bCs/>
        </w:rPr>
      </w:pPr>
      <w:r>
        <w:rPr>
          <w:b/>
          <w:bCs/>
        </w:rPr>
        <w:lastRenderedPageBreak/>
        <w:t>Patient Insurance</w:t>
      </w:r>
    </w:p>
    <w:p w14:paraId="3D79F0F1" w14:textId="0A1D1E07" w:rsidR="00A20FE3" w:rsidRDefault="00A20FE3" w:rsidP="006C101B">
      <w:pPr>
        <w:spacing w:after="0"/>
      </w:pPr>
    </w:p>
    <w:p w14:paraId="1A15A92B" w14:textId="4D40AB66" w:rsidR="00A20FE3" w:rsidRDefault="00A20FE3" w:rsidP="006C101B">
      <w:pPr>
        <w:spacing w:after="0"/>
      </w:pPr>
      <w:r w:rsidRPr="00F34BF2">
        <w:rPr>
          <w:u w:val="single"/>
        </w:rPr>
        <w:t>Report</w:t>
      </w:r>
      <w:r>
        <w:t>:</w:t>
      </w:r>
      <w:r w:rsidR="00A667E9">
        <w:t xml:space="preserve"> PHASE </w:t>
      </w:r>
      <w:r w:rsidR="00A667E9" w:rsidRPr="00A667E9">
        <w:t>Diabetes HbA1c Good Control (≤9%)</w:t>
      </w:r>
      <w:r w:rsidR="00A667E9">
        <w:t>, but idea can be spread to other reports</w:t>
      </w:r>
    </w:p>
    <w:p w14:paraId="5EF18A36" w14:textId="73503146" w:rsidR="00A20FE3" w:rsidRDefault="00A20FE3" w:rsidP="006C101B">
      <w:pPr>
        <w:spacing w:after="0"/>
      </w:pPr>
    </w:p>
    <w:p w14:paraId="667F4DB4" w14:textId="565A9742" w:rsidR="00A20FE3" w:rsidRDefault="00A20FE3" w:rsidP="006C101B">
      <w:pPr>
        <w:spacing w:after="0"/>
      </w:pPr>
      <w:r w:rsidRPr="00F41948">
        <w:rPr>
          <w:u w:val="single"/>
        </w:rPr>
        <w:t>Issue</w:t>
      </w:r>
      <w:r>
        <w:t>:</w:t>
      </w:r>
      <w:r w:rsidR="00A667E9">
        <w:t xml:space="preserve"> </w:t>
      </w:r>
      <w:r w:rsidR="0077005B">
        <w:t xml:space="preserve">A </w:t>
      </w:r>
      <w:r w:rsidR="00A667E9">
        <w:t xml:space="preserve">standard </w:t>
      </w:r>
      <w:r w:rsidR="0077005B">
        <w:t xml:space="preserve">definition for </w:t>
      </w:r>
      <w:r w:rsidR="00A667E9">
        <w:t xml:space="preserve">a patient’s </w:t>
      </w:r>
      <w:r w:rsidR="0077005B">
        <w:t xml:space="preserve">medical </w:t>
      </w:r>
      <w:r w:rsidR="00A667E9">
        <w:t>insurance</w:t>
      </w:r>
    </w:p>
    <w:p w14:paraId="52EBFC8B" w14:textId="42443205" w:rsidR="00A20FE3" w:rsidRDefault="00A20FE3" w:rsidP="006C101B">
      <w:pPr>
        <w:spacing w:after="0"/>
      </w:pPr>
    </w:p>
    <w:p w14:paraId="3BC2056C" w14:textId="2D7F8C0C" w:rsidR="00A667E9" w:rsidRDefault="00A20FE3" w:rsidP="006C101B">
      <w:pPr>
        <w:spacing w:after="0"/>
      </w:pPr>
      <w:r w:rsidRPr="003432F7">
        <w:rPr>
          <w:u w:val="single"/>
        </w:rPr>
        <w:t>Description</w:t>
      </w:r>
      <w:r>
        <w:t>:</w:t>
      </w:r>
      <w:r w:rsidR="00A667E9">
        <w:t xml:space="preserve"> The 2020 PHASE Quality Measure for blood sugar control among patients with diabetes focuses on patients without insurance. There may be other measures that would be interesting to examine for uninsured populations (e.g., to study health disparities) or to compare patients belonging to the major UDS insurance categories (i.e., uninsured, private insurance, Medicaid, Medicare, Dual Eligible</w:t>
      </w:r>
      <w:r w:rsidR="0059399A">
        <w:t>, etc.</w:t>
      </w:r>
      <w:r w:rsidR="00A667E9">
        <w:t xml:space="preserve">). </w:t>
      </w:r>
    </w:p>
    <w:p w14:paraId="643439F7" w14:textId="42A0A959" w:rsidR="00A667E9" w:rsidRDefault="00A667E9" w:rsidP="006C101B">
      <w:pPr>
        <w:spacing w:after="0"/>
      </w:pPr>
    </w:p>
    <w:p w14:paraId="288D9566" w14:textId="3ED0DEB5" w:rsidR="00A667E9" w:rsidRDefault="00A667E9" w:rsidP="006C101B">
      <w:pPr>
        <w:spacing w:after="0"/>
      </w:pPr>
      <w:proofErr w:type="gramStart"/>
      <w:r>
        <w:t>All of</w:t>
      </w:r>
      <w:proofErr w:type="gramEnd"/>
      <w:r>
        <w:t xml:space="preserve"> the health centers have some method to define a patient</w:t>
      </w:r>
      <w:r w:rsidR="0059399A">
        <w:t>’</w:t>
      </w:r>
      <w:r>
        <w:t>s insurance</w:t>
      </w:r>
      <w:r w:rsidR="00411A58">
        <w:t xml:space="preserve"> status,</w:t>
      </w:r>
      <w:r>
        <w:t xml:space="preserve"> but if we are going to aggregate the data in the RCHC instance of Relevant, we should agree on a</w:t>
      </w:r>
      <w:r w:rsidR="00A7497D">
        <w:t xml:space="preserve"> standard</w:t>
      </w:r>
      <w:r w:rsidR="0059399A">
        <w:t xml:space="preserve"> approach.</w:t>
      </w:r>
      <w:r w:rsidR="00A7497D">
        <w:t xml:space="preserve"> This involves two steps: agreeing on a definition and then ensuring that the code in Relevant follows this definition. </w:t>
      </w:r>
    </w:p>
    <w:p w14:paraId="3EAE1CE4" w14:textId="3897267A" w:rsidR="0059399A" w:rsidRDefault="0059399A" w:rsidP="006C101B">
      <w:pPr>
        <w:spacing w:after="0"/>
      </w:pPr>
    </w:p>
    <w:p w14:paraId="19ABF362" w14:textId="112550EF" w:rsidR="0059399A" w:rsidRDefault="00A7497D" w:rsidP="006C101B">
      <w:pPr>
        <w:spacing w:after="0"/>
      </w:pPr>
      <w:r>
        <w:t xml:space="preserve">One definition for insurance status comes from the UDS Report. </w:t>
      </w:r>
      <w:r w:rsidR="0059399A">
        <w:t>Page 36 of the 2019 UDS Manual defines principal insurance as follows: “</w:t>
      </w:r>
      <w:r w:rsidR="0059399A" w:rsidRPr="0059399A">
        <w:t>Report the primary medical insurance patients had at the time of their last visit regardless of whether that insurance was billed or paid for any or all of the visit services. (Do not report other forms of insurance such as dental, mental health, or vision coverage).</w:t>
      </w:r>
      <w:r w:rsidR="0059399A">
        <w:t>”</w:t>
      </w:r>
    </w:p>
    <w:p w14:paraId="43A798CE" w14:textId="0F9DEA16" w:rsidR="0059399A" w:rsidRDefault="0059399A" w:rsidP="006C101B">
      <w:pPr>
        <w:spacing w:after="0"/>
      </w:pPr>
    </w:p>
    <w:p w14:paraId="3829F9E7" w14:textId="6EF3979F" w:rsidR="0059399A" w:rsidRDefault="0059399A" w:rsidP="006C101B">
      <w:pPr>
        <w:spacing w:after="0"/>
      </w:pPr>
      <w:proofErr w:type="gramStart"/>
      <w:r>
        <w:t>First of all</w:t>
      </w:r>
      <w:proofErr w:type="gramEnd"/>
      <w:r>
        <w:t>, note that this definition is looking at an insurance from a visit, not just the insurance that is the</w:t>
      </w:r>
      <w:r w:rsidR="00A7497D">
        <w:t xml:space="preserve"> current</w:t>
      </w:r>
      <w:r>
        <w:t xml:space="preserve"> Primary Insurance </w:t>
      </w:r>
      <w:r w:rsidR="00A7497D">
        <w:t xml:space="preserve">in the patient record </w:t>
      </w:r>
      <w:r>
        <w:t xml:space="preserve">(for example, in the </w:t>
      </w:r>
      <w:r w:rsidR="00F065F7">
        <w:t>“</w:t>
      </w:r>
      <w:r>
        <w:t>Hub</w:t>
      </w:r>
      <w:r w:rsidR="00F065F7">
        <w:t>”</w:t>
      </w:r>
      <w:r>
        <w:t xml:space="preserve"> in </w:t>
      </w:r>
      <w:proofErr w:type="spellStart"/>
      <w:r>
        <w:t>eCW</w:t>
      </w:r>
      <w:proofErr w:type="spellEnd"/>
      <w:r>
        <w:t xml:space="preserve">). This is good because the Primary Insurance can change day-to-day and sometimes the one that is there may never have been billed. </w:t>
      </w:r>
    </w:p>
    <w:p w14:paraId="71F79C18" w14:textId="432C37CF" w:rsidR="0059399A" w:rsidRDefault="0059399A" w:rsidP="006C101B">
      <w:pPr>
        <w:spacing w:after="0"/>
      </w:pPr>
    </w:p>
    <w:p w14:paraId="1C33B703" w14:textId="77777777" w:rsidR="00C85F85" w:rsidRDefault="0059399A" w:rsidP="006C101B">
      <w:pPr>
        <w:spacing w:after="0"/>
      </w:pPr>
      <w:r>
        <w:t>Second, note that this definition is looking for medical insurance</w:t>
      </w:r>
      <w:r w:rsidR="001B447B">
        <w:t xml:space="preserve"> and excluding other insurance for non-medical services. This is also important because if we are looking at </w:t>
      </w:r>
      <w:r w:rsidR="00A7497D">
        <w:t>clinical (</w:t>
      </w:r>
      <w:r w:rsidR="001B447B">
        <w:t>medical</w:t>
      </w:r>
      <w:r w:rsidR="00A7497D">
        <w:t>)</w:t>
      </w:r>
      <w:r w:rsidR="001B447B">
        <w:t xml:space="preserve"> Quality Measures, we want to compare the type of medical insurance patients</w:t>
      </w:r>
      <w:r w:rsidR="00A7497D">
        <w:t xml:space="preserve"> have</w:t>
      </w:r>
      <w:r w:rsidR="001B447B">
        <w:t xml:space="preserve">. </w:t>
      </w:r>
    </w:p>
    <w:p w14:paraId="73DA770C" w14:textId="1F15FF9F" w:rsidR="00C85F85" w:rsidRDefault="00C85F85" w:rsidP="00A20FE3">
      <w:pPr>
        <w:spacing w:after="0"/>
      </w:pPr>
    </w:p>
    <w:p w14:paraId="29FC3EC5" w14:textId="439D2907" w:rsidR="00C85F85" w:rsidRDefault="00F065F7" w:rsidP="00A20FE3">
      <w:pPr>
        <w:spacing w:after="0"/>
      </w:pPr>
      <w:r>
        <w:t>Here are some examples of</w:t>
      </w:r>
      <w:r w:rsidR="00C85F85">
        <w:t xml:space="preserve"> approaches to determining patient insurance</w:t>
      </w:r>
      <w:r>
        <w:t>.</w:t>
      </w:r>
    </w:p>
    <w:p w14:paraId="71DDF522" w14:textId="6B120638" w:rsidR="00C85F85" w:rsidRDefault="00C85F85" w:rsidP="00A20FE3">
      <w:pPr>
        <w:spacing w:after="0"/>
      </w:pPr>
    </w:p>
    <w:p w14:paraId="417BC75D" w14:textId="6102CDC7" w:rsidR="008E083D" w:rsidRDefault="008E083D" w:rsidP="00C85F85">
      <w:pPr>
        <w:pStyle w:val="ListParagraph"/>
        <w:numPr>
          <w:ilvl w:val="0"/>
          <w:numId w:val="10"/>
        </w:numPr>
        <w:spacing w:after="0"/>
      </w:pPr>
      <w:r>
        <w:t xml:space="preserve">Take the primary insurance on their record (i.e., from the </w:t>
      </w:r>
      <w:r w:rsidR="00F065F7">
        <w:t>H</w:t>
      </w:r>
      <w:r>
        <w:t>ub)</w:t>
      </w:r>
    </w:p>
    <w:p w14:paraId="2D858FB3" w14:textId="7E1D5D2C" w:rsidR="00C85F85" w:rsidRDefault="008E083D" w:rsidP="00C85F85">
      <w:pPr>
        <w:pStyle w:val="ListParagraph"/>
        <w:numPr>
          <w:ilvl w:val="0"/>
          <w:numId w:val="10"/>
        </w:numPr>
        <w:spacing w:after="0"/>
      </w:pPr>
      <w:r>
        <w:t>T</w:t>
      </w:r>
      <w:r w:rsidR="00C85F85">
        <w:t>ake the last insurance</w:t>
      </w:r>
      <w:r w:rsidR="008B2736">
        <w:t xml:space="preserve"> billed</w:t>
      </w:r>
      <w:r w:rsidR="00C85F85">
        <w:t xml:space="preserve"> </w:t>
      </w:r>
      <w:r w:rsidR="002B6141">
        <w:t>for any UDS</w:t>
      </w:r>
      <w:r w:rsidR="005B56BC">
        <w:t xml:space="preserve"> medical</w:t>
      </w:r>
      <w:r w:rsidR="002B6141">
        <w:t xml:space="preserve"> visit</w:t>
      </w:r>
      <w:r w:rsidR="008B2736">
        <w:t xml:space="preserve">. </w:t>
      </w:r>
      <w:r w:rsidR="005B56BC">
        <w:t xml:space="preserve">If there was not a medical visit, take the last insurance for any </w:t>
      </w:r>
      <w:r w:rsidR="005B56BC">
        <w:t>billed</w:t>
      </w:r>
      <w:r w:rsidR="005B56BC">
        <w:t xml:space="preserve"> visit</w:t>
      </w:r>
      <w:r w:rsidR="005B56BC">
        <w:t xml:space="preserve"> in the UDS universe</w:t>
      </w:r>
      <w:r w:rsidR="005B56BC">
        <w:t xml:space="preserve">. If there was not a </w:t>
      </w:r>
      <w:r w:rsidR="005B56BC">
        <w:t>billed</w:t>
      </w:r>
      <w:r w:rsidR="005B56BC">
        <w:t xml:space="preserve"> visit, take the last insurance for any visit</w:t>
      </w:r>
      <w:r w:rsidR="005B56BC">
        <w:t xml:space="preserve"> </w:t>
      </w:r>
      <w:r w:rsidR="005B56BC">
        <w:t>in the UDS universe.</w:t>
      </w:r>
    </w:p>
    <w:p w14:paraId="3D5D2FC1" w14:textId="126BC7C5" w:rsidR="00C85F85" w:rsidRDefault="008B2736" w:rsidP="00C85F85">
      <w:pPr>
        <w:pStyle w:val="ListParagraph"/>
        <w:numPr>
          <w:ilvl w:val="0"/>
          <w:numId w:val="10"/>
        </w:numPr>
        <w:spacing w:after="0"/>
      </w:pPr>
      <w:r>
        <w:t>Prioritize visits</w:t>
      </w:r>
      <w:r w:rsidR="005B56BC">
        <w:t xml:space="preserve"> based on program</w:t>
      </w:r>
      <w:r>
        <w:t xml:space="preserve">. </w:t>
      </w:r>
      <w:proofErr w:type="gramStart"/>
      <w:r>
        <w:t>First priority</w:t>
      </w:r>
      <w:proofErr w:type="gramEnd"/>
      <w:r>
        <w:t xml:space="preserve"> is medical visits. </w:t>
      </w:r>
      <w:r w:rsidR="00C85F85">
        <w:t>Take the last insurance</w:t>
      </w:r>
      <w:r>
        <w:t>*</w:t>
      </w:r>
      <w:r w:rsidR="00C85F85">
        <w:t xml:space="preserve"> for a</w:t>
      </w:r>
      <w:r>
        <w:t>ny</w:t>
      </w:r>
      <w:r w:rsidR="00C85F85">
        <w:t xml:space="preserve"> medical visit</w:t>
      </w:r>
      <w:r>
        <w:t xml:space="preserve">. If there was not a medical visit, take </w:t>
      </w:r>
      <w:r>
        <w:t xml:space="preserve">the last insurance for any </w:t>
      </w:r>
      <w:r>
        <w:t>dent</w:t>
      </w:r>
      <w:r w:rsidR="008E083D">
        <w:t>a</w:t>
      </w:r>
      <w:r>
        <w:t>l</w:t>
      </w:r>
      <w:r>
        <w:t xml:space="preserve"> visit</w:t>
      </w:r>
      <w:r w:rsidR="008E083D">
        <w:t xml:space="preserve">. </w:t>
      </w:r>
      <w:r w:rsidR="008E083D">
        <w:t xml:space="preserve">If there was not a medical visit, take the last insurance for any </w:t>
      </w:r>
      <w:r w:rsidR="008E083D">
        <w:t>behavioral health</w:t>
      </w:r>
      <w:r w:rsidR="008E083D">
        <w:t xml:space="preserve"> visit.</w:t>
      </w:r>
      <w:r w:rsidR="008E083D">
        <w:t xml:space="preserve"> If the patient did not have a visit, then the current primary insurance </w:t>
      </w:r>
      <w:r w:rsidR="008E083D">
        <w:t>(i.e., from the hub)</w:t>
      </w:r>
      <w:r w:rsidR="008E083D">
        <w:t xml:space="preserve"> is used.</w:t>
      </w:r>
      <w:r w:rsidR="00F065F7">
        <w:t xml:space="preserve"> </w:t>
      </w:r>
    </w:p>
    <w:p w14:paraId="33E115D0" w14:textId="40B2B04C" w:rsidR="00C85F85" w:rsidRDefault="00C85F85" w:rsidP="00A20FE3">
      <w:pPr>
        <w:spacing w:after="0"/>
      </w:pPr>
    </w:p>
    <w:p w14:paraId="2FE3F2D5" w14:textId="4DBF3343" w:rsidR="008E083D" w:rsidRDefault="008E083D" w:rsidP="008E083D">
      <w:pPr>
        <w:tabs>
          <w:tab w:val="left" w:pos="540"/>
          <w:tab w:val="left" w:pos="1080"/>
        </w:tabs>
        <w:spacing w:after="0"/>
        <w:ind w:left="540" w:hanging="180"/>
      </w:pPr>
      <w:r>
        <w:t>*</w:t>
      </w:r>
      <w:r>
        <w:tab/>
      </w:r>
      <w:r>
        <w:t>Insurance: priority is for the last visit where an insurance paid for the visit, and if there is not one of those, take the last insurance that billed for the visit</w:t>
      </w:r>
    </w:p>
    <w:p w14:paraId="2222194B" w14:textId="77777777" w:rsidR="008E083D" w:rsidRDefault="008E083D" w:rsidP="00A20FE3">
      <w:pPr>
        <w:spacing w:after="0"/>
      </w:pPr>
    </w:p>
    <w:p w14:paraId="5822331B" w14:textId="20D2AF13" w:rsidR="008E083D" w:rsidRDefault="00F065F7" w:rsidP="00A20FE3">
      <w:pPr>
        <w:spacing w:after="0"/>
      </w:pPr>
      <w:r>
        <w:t>Whatever insurance is determined to be the patient’s</w:t>
      </w:r>
      <w:r w:rsidR="008E083D">
        <w:t xml:space="preserve"> insurance is then categorized based on your health center’s insurance groups</w:t>
      </w:r>
      <w:r w:rsidR="009B010B">
        <w:t xml:space="preserve">. </w:t>
      </w:r>
      <w:r w:rsidR="008E083D">
        <w:t>Therefore, if the insurance is purely a dental insurance or purely a behavioral health insurance, it would be classified as uninsured.</w:t>
      </w:r>
    </w:p>
    <w:p w14:paraId="113F71F7" w14:textId="3BF3C9B6" w:rsidR="00F065F7" w:rsidRDefault="00F065F7" w:rsidP="00A20FE3">
      <w:pPr>
        <w:spacing w:after="0"/>
      </w:pPr>
    </w:p>
    <w:p w14:paraId="128E2E8D" w14:textId="77777777" w:rsidR="00F065F7" w:rsidRDefault="00F065F7" w:rsidP="00A20FE3">
      <w:pPr>
        <w:spacing w:after="0"/>
      </w:pPr>
    </w:p>
    <w:p w14:paraId="0DA1F5E5" w14:textId="07EA20AA" w:rsidR="00F065F7" w:rsidRPr="00F065F7" w:rsidRDefault="00F065F7" w:rsidP="00A20FE3">
      <w:pPr>
        <w:spacing w:after="0"/>
        <w:rPr>
          <w:u w:val="single"/>
        </w:rPr>
      </w:pPr>
      <w:r w:rsidRPr="00F065F7">
        <w:rPr>
          <w:u w:val="single"/>
        </w:rPr>
        <w:t>Additional Information</w:t>
      </w:r>
    </w:p>
    <w:p w14:paraId="7F6C9FD3" w14:textId="053C5F9C" w:rsidR="00F065F7" w:rsidRDefault="00F065F7" w:rsidP="00A20FE3">
      <w:pPr>
        <w:spacing w:after="0"/>
      </w:pPr>
    </w:p>
    <w:p w14:paraId="4D7532A0" w14:textId="1313CA66" w:rsidR="008B2736" w:rsidRDefault="009B010B" w:rsidP="00A20FE3">
      <w:pPr>
        <w:spacing w:after="0"/>
      </w:pPr>
      <w:r>
        <w:t>Check how UDS insurance is assigned in Relevant at your health center. There are two parts to this.</w:t>
      </w:r>
    </w:p>
    <w:p w14:paraId="794871C9" w14:textId="6B4217D7" w:rsidR="009B010B" w:rsidRPr="009B010B" w:rsidRDefault="009B010B" w:rsidP="00A20FE3">
      <w:pPr>
        <w:spacing w:after="0"/>
      </w:pPr>
    </w:p>
    <w:p w14:paraId="61997BA1" w14:textId="4A4DF069" w:rsidR="009B010B" w:rsidRPr="009B010B" w:rsidRDefault="009B010B" w:rsidP="00A20FE3">
      <w:pPr>
        <w:spacing w:after="0"/>
        <w:rPr>
          <w:i/>
          <w:iCs/>
        </w:rPr>
      </w:pPr>
      <w:r w:rsidRPr="009B010B">
        <w:rPr>
          <w:i/>
          <w:iCs/>
        </w:rPr>
        <w:t>Part 1: Assign an insurance to a patient</w:t>
      </w:r>
    </w:p>
    <w:p w14:paraId="2B0CCF5A" w14:textId="257B760E" w:rsidR="009B010B" w:rsidRPr="009B010B" w:rsidRDefault="009B010B" w:rsidP="00A20FE3">
      <w:pPr>
        <w:spacing w:after="0"/>
      </w:pPr>
    </w:p>
    <w:p w14:paraId="00CAFA9C" w14:textId="2FE5D67D" w:rsidR="009B010B" w:rsidRDefault="009B010B" w:rsidP="009B010B">
      <w:pPr>
        <w:spacing w:after="0"/>
      </w:pPr>
      <w:r w:rsidRPr="009B010B">
        <w:t>Importer: Insurance Enrollments</w:t>
      </w:r>
    </w:p>
    <w:p w14:paraId="1F62459D" w14:textId="18156776" w:rsidR="009B010B" w:rsidRDefault="009B010B" w:rsidP="009B010B">
      <w:pPr>
        <w:spacing w:after="0"/>
      </w:pPr>
    </w:p>
    <w:p w14:paraId="7B471F93" w14:textId="02B0F904" w:rsidR="000F6846" w:rsidRDefault="009B010B" w:rsidP="009B010B">
      <w:pPr>
        <w:spacing w:after="0"/>
      </w:pPr>
      <w:r>
        <w:t xml:space="preserve">This Importer will display an insurance (column </w:t>
      </w:r>
      <w:proofErr w:type="spellStart"/>
      <w:r w:rsidRPr="009B010B">
        <w:t>payer_id</w:t>
      </w:r>
      <w:proofErr w:type="spellEnd"/>
      <w:r>
        <w:t>) for each patient (</w:t>
      </w:r>
      <w:r>
        <w:t xml:space="preserve">column </w:t>
      </w:r>
      <w:proofErr w:type="spellStart"/>
      <w:r w:rsidRPr="009B010B">
        <w:t>patient_id</w:t>
      </w:r>
      <w:proofErr w:type="spellEnd"/>
      <w:r>
        <w:t>) by calendar year (</w:t>
      </w:r>
      <w:r>
        <w:t xml:space="preserve">column </w:t>
      </w:r>
      <w:r w:rsidRPr="009B010B">
        <w:t>year</w:t>
      </w:r>
      <w:r>
        <w:t xml:space="preserve">) and whether the patient is dual eligible (column </w:t>
      </w:r>
      <w:proofErr w:type="spellStart"/>
      <w:r w:rsidRPr="009B010B">
        <w:t>medicare_dually_eligible</w:t>
      </w:r>
      <w:proofErr w:type="spellEnd"/>
      <w:r>
        <w:t>).</w:t>
      </w:r>
      <w:r w:rsidR="000F6846">
        <w:t xml:space="preserve"> There may or may not be an associated Transformer (for example, </w:t>
      </w:r>
      <w:proofErr w:type="spellStart"/>
      <w:r w:rsidR="000F6846" w:rsidRPr="000F6846">
        <w:t>relevant_insurance_enrollments</w:t>
      </w:r>
      <w:proofErr w:type="spellEnd"/>
      <w:r w:rsidR="000F6846">
        <w:t>).</w:t>
      </w:r>
    </w:p>
    <w:p w14:paraId="19511AA9" w14:textId="77777777" w:rsidR="000F6846" w:rsidRDefault="000F6846" w:rsidP="009B010B">
      <w:pPr>
        <w:spacing w:after="0"/>
      </w:pPr>
    </w:p>
    <w:p w14:paraId="082EE207" w14:textId="729355D7" w:rsidR="009B010B" w:rsidRPr="009B010B" w:rsidRDefault="000F6846" w:rsidP="009B010B">
      <w:pPr>
        <w:spacing w:after="0"/>
      </w:pPr>
      <w:r>
        <w:t>Note that for the purposes of the PHASE measure (and other applications), we would have to figure out a way to bypass the calendar year requirement (because the measure would need to be run at various times during the year, not at a set end-point at the end of the year).</w:t>
      </w:r>
    </w:p>
    <w:p w14:paraId="3076D94D" w14:textId="5A4DAD19" w:rsidR="000F6846" w:rsidRDefault="000F6846" w:rsidP="00A20FE3">
      <w:pPr>
        <w:spacing w:after="0"/>
      </w:pPr>
    </w:p>
    <w:p w14:paraId="70F67D16" w14:textId="77777777" w:rsidR="000F6846" w:rsidRPr="009B010B" w:rsidRDefault="000F6846" w:rsidP="00A20FE3">
      <w:pPr>
        <w:spacing w:after="0"/>
      </w:pPr>
    </w:p>
    <w:p w14:paraId="1131293E" w14:textId="40656198" w:rsidR="008E083D" w:rsidRPr="000F6846" w:rsidRDefault="009B010B">
      <w:pPr>
        <w:spacing w:after="0"/>
        <w:rPr>
          <w:i/>
          <w:iCs/>
        </w:rPr>
      </w:pPr>
      <w:r w:rsidRPr="000F6846">
        <w:rPr>
          <w:i/>
          <w:iCs/>
        </w:rPr>
        <w:t>Part 2: Place insurance names into UDS categories</w:t>
      </w:r>
    </w:p>
    <w:p w14:paraId="0C5DD7B1" w14:textId="0FE075FC" w:rsidR="000F6846" w:rsidRDefault="000F6846">
      <w:pPr>
        <w:spacing w:after="0"/>
      </w:pPr>
    </w:p>
    <w:p w14:paraId="311B103A" w14:textId="04A1B64F" w:rsidR="000F6846" w:rsidRDefault="000F6846">
      <w:pPr>
        <w:spacing w:after="0"/>
      </w:pPr>
      <w:r w:rsidRPr="000F6846">
        <w:t>Importer: Payers</w:t>
      </w:r>
    </w:p>
    <w:p w14:paraId="4ADBB74F" w14:textId="6A143DE5" w:rsidR="000F6846" w:rsidRDefault="000F6846">
      <w:pPr>
        <w:spacing w:after="0"/>
      </w:pPr>
    </w:p>
    <w:p w14:paraId="25975F1F" w14:textId="58AB1B9F" w:rsidR="000F6846" w:rsidRDefault="000F6846">
      <w:pPr>
        <w:spacing w:after="0"/>
      </w:pPr>
      <w:r>
        <w:t xml:space="preserve">Based on the Transformer </w:t>
      </w:r>
      <w:proofErr w:type="spellStart"/>
      <w:r w:rsidRPr="000F6846">
        <w:t>relevant_payers</w:t>
      </w:r>
      <w:proofErr w:type="spellEnd"/>
    </w:p>
    <w:p w14:paraId="374F9361" w14:textId="02D5CA4E" w:rsidR="000F6846" w:rsidRDefault="000F6846">
      <w:pPr>
        <w:spacing w:after="0"/>
      </w:pPr>
    </w:p>
    <w:p w14:paraId="3348D0F2" w14:textId="00A62E01" w:rsidR="000F6846" w:rsidRPr="009B010B" w:rsidRDefault="000F6846" w:rsidP="000F6846">
      <w:pPr>
        <w:spacing w:after="0"/>
      </w:pPr>
      <w:r>
        <w:t xml:space="preserve">Displays </w:t>
      </w:r>
      <w:r>
        <w:t>insurance name</w:t>
      </w:r>
      <w:r>
        <w:t xml:space="preserve"> in each row, along with the insurance group (column </w:t>
      </w:r>
      <w:proofErr w:type="spellStart"/>
      <w:r>
        <w:t>payer_group_id</w:t>
      </w:r>
      <w:proofErr w:type="spellEnd"/>
      <w:r>
        <w:t xml:space="preserve">) and </w:t>
      </w:r>
      <w:r>
        <w:t xml:space="preserve">TRUE/FALSE columns for each major UDS </w:t>
      </w:r>
      <w:r w:rsidR="0063394D">
        <w:t xml:space="preserve">insurance </w:t>
      </w:r>
      <w:r>
        <w:t xml:space="preserve">category (private, Medicaid, chip, </w:t>
      </w:r>
      <w:proofErr w:type="spellStart"/>
      <w:r>
        <w:t>medicare</w:t>
      </w:r>
      <w:proofErr w:type="spellEnd"/>
      <w:r>
        <w:t xml:space="preserve">, </w:t>
      </w:r>
      <w:r>
        <w:t xml:space="preserve">and </w:t>
      </w:r>
      <w:r>
        <w:t>uninsured)</w:t>
      </w:r>
      <w:r>
        <w:t xml:space="preserve">. </w:t>
      </w:r>
      <w:r w:rsidR="0063394D">
        <w:t xml:space="preserve">The </w:t>
      </w:r>
      <w:r w:rsidR="0063394D">
        <w:t xml:space="preserve">customized </w:t>
      </w:r>
      <w:r>
        <w:t xml:space="preserve">Transformer assigns a </w:t>
      </w:r>
      <w:r w:rsidR="0063394D">
        <w:t>UDS insurance category</w:t>
      </w:r>
      <w:r>
        <w:t xml:space="preserve"> </w:t>
      </w:r>
      <w:r w:rsidR="0063394D">
        <w:t xml:space="preserve">depending on the </w:t>
      </w:r>
      <w:r w:rsidR="0063394D">
        <w:t>conditions at</w:t>
      </w:r>
      <w:r w:rsidR="0063394D">
        <w:t xml:space="preserve"> the health center</w:t>
      </w:r>
      <w:r w:rsidR="00D27F5A">
        <w:t xml:space="preserve">. For example, most </w:t>
      </w:r>
      <w:proofErr w:type="spellStart"/>
      <w:r w:rsidR="00D27F5A">
        <w:t>eCW</w:t>
      </w:r>
      <w:proofErr w:type="spellEnd"/>
      <w:r w:rsidR="00D27F5A">
        <w:t xml:space="preserve"> health</w:t>
      </w:r>
      <w:r w:rsidR="0063394D">
        <w:t xml:space="preserve"> </w:t>
      </w:r>
      <w:r w:rsidR="00D27F5A">
        <w:t>centers use the</w:t>
      </w:r>
      <w:r w:rsidR="0063394D">
        <w:t xml:space="preserve"> internal I</w:t>
      </w:r>
      <w:r>
        <w:t xml:space="preserve">nsurance </w:t>
      </w:r>
      <w:r w:rsidR="0063394D">
        <w:t>G</w:t>
      </w:r>
      <w:r>
        <w:t>roup (most common) or insurance name (</w:t>
      </w:r>
      <w:r w:rsidR="0063394D">
        <w:t xml:space="preserve">for rare </w:t>
      </w:r>
      <w:r>
        <w:t>exception</w:t>
      </w:r>
      <w:r w:rsidR="0063394D">
        <w:t>s</w:t>
      </w:r>
      <w:r>
        <w:t>)</w:t>
      </w:r>
      <w:r w:rsidR="0063394D">
        <w:t>.</w:t>
      </w:r>
      <w:r w:rsidR="00D27F5A">
        <w:t xml:space="preserve"> Most NextGen health centers use the financial class of the insurance.</w:t>
      </w:r>
      <w:bookmarkStart w:id="1" w:name="_GoBack"/>
      <w:bookmarkEnd w:id="1"/>
    </w:p>
    <w:sectPr w:rsidR="000F6846" w:rsidRPr="009B01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0AFC9" w14:textId="77777777" w:rsidR="008816A0" w:rsidRDefault="008816A0" w:rsidP="00C72504">
      <w:pPr>
        <w:spacing w:after="0" w:line="240" w:lineRule="auto"/>
      </w:pPr>
      <w:r>
        <w:separator/>
      </w:r>
    </w:p>
  </w:endnote>
  <w:endnote w:type="continuationSeparator" w:id="0">
    <w:p w14:paraId="32598E37" w14:textId="77777777" w:rsidR="008816A0" w:rsidRDefault="008816A0" w:rsidP="00C7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17960" w14:textId="77777777" w:rsidR="00C72504" w:rsidRPr="00C72504" w:rsidRDefault="00C72504">
    <w:pPr>
      <w:pStyle w:val="Footer"/>
      <w:jc w:val="center"/>
      <w:rPr>
        <w:sz w:val="16"/>
        <w:szCs w:val="16"/>
      </w:rPr>
    </w:pPr>
    <w:r w:rsidRPr="00C72504">
      <w:rPr>
        <w:sz w:val="16"/>
        <w:szCs w:val="16"/>
      </w:rPr>
      <w:t xml:space="preserve">Page </w:t>
    </w:r>
    <w:r w:rsidRPr="00C72504">
      <w:rPr>
        <w:sz w:val="16"/>
        <w:szCs w:val="16"/>
      </w:rPr>
      <w:fldChar w:fldCharType="begin"/>
    </w:r>
    <w:r w:rsidRPr="00C72504">
      <w:rPr>
        <w:sz w:val="16"/>
        <w:szCs w:val="16"/>
      </w:rPr>
      <w:instrText xml:space="preserve"> PAGE  \* Arabic  \* MERGEFORMAT </w:instrText>
    </w:r>
    <w:r w:rsidRPr="00C72504">
      <w:rPr>
        <w:sz w:val="16"/>
        <w:szCs w:val="16"/>
      </w:rPr>
      <w:fldChar w:fldCharType="separate"/>
    </w:r>
    <w:r w:rsidRPr="00C72504">
      <w:rPr>
        <w:noProof/>
        <w:sz w:val="16"/>
        <w:szCs w:val="16"/>
      </w:rPr>
      <w:t>2</w:t>
    </w:r>
    <w:r w:rsidRPr="00C72504">
      <w:rPr>
        <w:sz w:val="16"/>
        <w:szCs w:val="16"/>
      </w:rPr>
      <w:fldChar w:fldCharType="end"/>
    </w:r>
    <w:r w:rsidRPr="00C72504">
      <w:rPr>
        <w:sz w:val="16"/>
        <w:szCs w:val="16"/>
      </w:rPr>
      <w:t xml:space="preserve"> of </w:t>
    </w:r>
    <w:r w:rsidRPr="00C72504">
      <w:rPr>
        <w:sz w:val="16"/>
        <w:szCs w:val="16"/>
      </w:rPr>
      <w:fldChar w:fldCharType="begin"/>
    </w:r>
    <w:r w:rsidRPr="00C72504">
      <w:rPr>
        <w:sz w:val="16"/>
        <w:szCs w:val="16"/>
      </w:rPr>
      <w:instrText xml:space="preserve"> NUMPAGES  \* Arabic  \* MERGEFORMAT </w:instrText>
    </w:r>
    <w:r w:rsidRPr="00C72504">
      <w:rPr>
        <w:sz w:val="16"/>
        <w:szCs w:val="16"/>
      </w:rPr>
      <w:fldChar w:fldCharType="separate"/>
    </w:r>
    <w:r w:rsidRPr="00C72504">
      <w:rPr>
        <w:noProof/>
        <w:sz w:val="16"/>
        <w:szCs w:val="16"/>
      </w:rPr>
      <w:t>2</w:t>
    </w:r>
    <w:r w:rsidRPr="00C72504">
      <w:rPr>
        <w:sz w:val="16"/>
        <w:szCs w:val="16"/>
      </w:rPr>
      <w:fldChar w:fldCharType="end"/>
    </w:r>
  </w:p>
  <w:p w14:paraId="304F882B" w14:textId="77777777" w:rsidR="00C72504" w:rsidRDefault="00C72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AAA11" w14:textId="77777777" w:rsidR="008816A0" w:rsidRDefault="008816A0" w:rsidP="00C72504">
      <w:pPr>
        <w:spacing w:after="0" w:line="240" w:lineRule="auto"/>
      </w:pPr>
      <w:r>
        <w:separator/>
      </w:r>
    </w:p>
  </w:footnote>
  <w:footnote w:type="continuationSeparator" w:id="0">
    <w:p w14:paraId="324E2A04" w14:textId="77777777" w:rsidR="008816A0" w:rsidRDefault="008816A0" w:rsidP="00C72504">
      <w:pPr>
        <w:spacing w:after="0" w:line="240" w:lineRule="auto"/>
      </w:pPr>
      <w:r>
        <w:continuationSeparator/>
      </w:r>
    </w:p>
  </w:footnote>
  <w:footnote w:id="1">
    <w:p w14:paraId="268A7195" w14:textId="74F95929" w:rsidR="004B0D4A" w:rsidRDefault="004B0D4A">
      <w:pPr>
        <w:pStyle w:val="FootnoteText"/>
      </w:pPr>
      <w:r>
        <w:rPr>
          <w:rStyle w:val="FootnoteReference"/>
        </w:rPr>
        <w:footnoteRef/>
      </w:r>
      <w:r>
        <w:t xml:space="preserve"> See the e-mail from Colleen Petersen on December 4, 2019 with the subject line “</w:t>
      </w:r>
      <w:r w:rsidRPr="004B0D4A">
        <w:t>New Set of Relevant Validation Reports (</w:t>
      </w:r>
      <w:proofErr w:type="spellStart"/>
      <w:r w:rsidRPr="004B0D4A">
        <w:t>eCW</w:t>
      </w:r>
      <w:proofErr w:type="spellEnd"/>
      <w:r w:rsidRPr="004B0D4A">
        <w:t xml:space="preserve"> Version)</w:t>
      </w:r>
      <w:r>
        <w:t>.” The NextGen versions will be released later in December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5AFD"/>
    <w:multiLevelType w:val="hybridMultilevel"/>
    <w:tmpl w:val="BC327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D70C9"/>
    <w:multiLevelType w:val="hybridMultilevel"/>
    <w:tmpl w:val="28A4A1B8"/>
    <w:lvl w:ilvl="0" w:tplc="BE9273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41B56"/>
    <w:multiLevelType w:val="hybridMultilevel"/>
    <w:tmpl w:val="F6D2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331B0"/>
    <w:multiLevelType w:val="hybridMultilevel"/>
    <w:tmpl w:val="9E2EE0B8"/>
    <w:lvl w:ilvl="0" w:tplc="779042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8227A"/>
    <w:multiLevelType w:val="hybridMultilevel"/>
    <w:tmpl w:val="5A0C11D4"/>
    <w:lvl w:ilvl="0" w:tplc="061CD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37C5B"/>
    <w:multiLevelType w:val="hybridMultilevel"/>
    <w:tmpl w:val="403EF152"/>
    <w:lvl w:ilvl="0" w:tplc="561A9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360BA"/>
    <w:multiLevelType w:val="hybridMultilevel"/>
    <w:tmpl w:val="0A50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3632B"/>
    <w:multiLevelType w:val="hybridMultilevel"/>
    <w:tmpl w:val="6C4E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3255D"/>
    <w:multiLevelType w:val="hybridMultilevel"/>
    <w:tmpl w:val="1414B6C2"/>
    <w:lvl w:ilvl="0" w:tplc="28A48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FA2E77"/>
    <w:multiLevelType w:val="hybridMultilevel"/>
    <w:tmpl w:val="037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9"/>
  </w:num>
  <w:num w:numId="6">
    <w:abstractNumId w:val="7"/>
  </w:num>
  <w:num w:numId="7">
    <w:abstractNumId w:val="2"/>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1B"/>
    <w:rsid w:val="00006B7F"/>
    <w:rsid w:val="000133BD"/>
    <w:rsid w:val="000279AB"/>
    <w:rsid w:val="000A3DE1"/>
    <w:rsid w:val="000F6846"/>
    <w:rsid w:val="00100F9A"/>
    <w:rsid w:val="00182DC4"/>
    <w:rsid w:val="0019276D"/>
    <w:rsid w:val="001B447B"/>
    <w:rsid w:val="002127E0"/>
    <w:rsid w:val="00221BF7"/>
    <w:rsid w:val="002578D5"/>
    <w:rsid w:val="002A5627"/>
    <w:rsid w:val="002B6141"/>
    <w:rsid w:val="00337E33"/>
    <w:rsid w:val="003B7780"/>
    <w:rsid w:val="00402433"/>
    <w:rsid w:val="00411A58"/>
    <w:rsid w:val="00444AC6"/>
    <w:rsid w:val="004B0D4A"/>
    <w:rsid w:val="004B449F"/>
    <w:rsid w:val="004B6B22"/>
    <w:rsid w:val="004E45B2"/>
    <w:rsid w:val="004E765D"/>
    <w:rsid w:val="0059399A"/>
    <w:rsid w:val="005A5D31"/>
    <w:rsid w:val="005B56BC"/>
    <w:rsid w:val="005C4724"/>
    <w:rsid w:val="005E0303"/>
    <w:rsid w:val="005E5A9C"/>
    <w:rsid w:val="0063394D"/>
    <w:rsid w:val="006C101B"/>
    <w:rsid w:val="00722A82"/>
    <w:rsid w:val="007242EE"/>
    <w:rsid w:val="00735A23"/>
    <w:rsid w:val="0077005B"/>
    <w:rsid w:val="00825430"/>
    <w:rsid w:val="00842EC3"/>
    <w:rsid w:val="008772AA"/>
    <w:rsid w:val="008816A0"/>
    <w:rsid w:val="008821FE"/>
    <w:rsid w:val="008A5289"/>
    <w:rsid w:val="008B2736"/>
    <w:rsid w:val="008B7576"/>
    <w:rsid w:val="008E083D"/>
    <w:rsid w:val="009B010B"/>
    <w:rsid w:val="009C5DD9"/>
    <w:rsid w:val="009E29B7"/>
    <w:rsid w:val="009E4F82"/>
    <w:rsid w:val="009F7963"/>
    <w:rsid w:val="00A20FE3"/>
    <w:rsid w:val="00A667E9"/>
    <w:rsid w:val="00A7497D"/>
    <w:rsid w:val="00AA3B4E"/>
    <w:rsid w:val="00AA4C1B"/>
    <w:rsid w:val="00AD2180"/>
    <w:rsid w:val="00B46AC0"/>
    <w:rsid w:val="00B67B0E"/>
    <w:rsid w:val="00BB22F1"/>
    <w:rsid w:val="00BF4CAF"/>
    <w:rsid w:val="00C15960"/>
    <w:rsid w:val="00C40310"/>
    <w:rsid w:val="00C72504"/>
    <w:rsid w:val="00C85F85"/>
    <w:rsid w:val="00C927B7"/>
    <w:rsid w:val="00D15CB9"/>
    <w:rsid w:val="00D27F5A"/>
    <w:rsid w:val="00D466AD"/>
    <w:rsid w:val="00DC0C87"/>
    <w:rsid w:val="00E563C2"/>
    <w:rsid w:val="00F062D5"/>
    <w:rsid w:val="00F065F7"/>
    <w:rsid w:val="00FD2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B1F7"/>
  <w15:chartTrackingRefBased/>
  <w15:docId w15:val="{CBE40035-A3DA-41C8-84D7-B4AE84A0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01B"/>
    <w:pPr>
      <w:ind w:left="720"/>
      <w:contextualSpacing/>
    </w:pPr>
  </w:style>
  <w:style w:type="paragraph" w:styleId="Header">
    <w:name w:val="header"/>
    <w:basedOn w:val="Normal"/>
    <w:link w:val="HeaderChar"/>
    <w:uiPriority w:val="99"/>
    <w:unhideWhenUsed/>
    <w:rsid w:val="00C72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504"/>
  </w:style>
  <w:style w:type="paragraph" w:styleId="Footer">
    <w:name w:val="footer"/>
    <w:basedOn w:val="Normal"/>
    <w:link w:val="FooterChar"/>
    <w:uiPriority w:val="99"/>
    <w:unhideWhenUsed/>
    <w:rsid w:val="00C72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504"/>
  </w:style>
  <w:style w:type="paragraph" w:styleId="FootnoteText">
    <w:name w:val="footnote text"/>
    <w:basedOn w:val="Normal"/>
    <w:link w:val="FootnoteTextChar"/>
    <w:uiPriority w:val="99"/>
    <w:semiHidden/>
    <w:unhideWhenUsed/>
    <w:rsid w:val="004B0D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D4A"/>
    <w:rPr>
      <w:sz w:val="20"/>
      <w:szCs w:val="20"/>
    </w:rPr>
  </w:style>
  <w:style w:type="character" w:styleId="FootnoteReference">
    <w:name w:val="footnote reference"/>
    <w:basedOn w:val="DefaultParagraphFont"/>
    <w:uiPriority w:val="99"/>
    <w:semiHidden/>
    <w:unhideWhenUsed/>
    <w:rsid w:val="004B0D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5127">
      <w:bodyDiv w:val="1"/>
      <w:marLeft w:val="0"/>
      <w:marRight w:val="0"/>
      <w:marTop w:val="0"/>
      <w:marBottom w:val="0"/>
      <w:divBdr>
        <w:top w:val="none" w:sz="0" w:space="0" w:color="auto"/>
        <w:left w:val="none" w:sz="0" w:space="0" w:color="auto"/>
        <w:bottom w:val="none" w:sz="0" w:space="0" w:color="auto"/>
        <w:right w:val="none" w:sz="0" w:space="0" w:color="auto"/>
      </w:divBdr>
    </w:div>
    <w:div w:id="1191912694">
      <w:bodyDiv w:val="1"/>
      <w:marLeft w:val="0"/>
      <w:marRight w:val="0"/>
      <w:marTop w:val="0"/>
      <w:marBottom w:val="0"/>
      <w:divBdr>
        <w:top w:val="none" w:sz="0" w:space="0" w:color="auto"/>
        <w:left w:val="none" w:sz="0" w:space="0" w:color="auto"/>
        <w:bottom w:val="none" w:sz="0" w:space="0" w:color="auto"/>
        <w:right w:val="none" w:sz="0" w:space="0" w:color="auto"/>
      </w:divBdr>
    </w:div>
    <w:div w:id="197089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B32AD-111C-4192-BF02-830AC90E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BT Jamms</cp:lastModifiedBy>
  <cp:revision>8</cp:revision>
  <dcterms:created xsi:type="dcterms:W3CDTF">2019-12-20T18:49:00Z</dcterms:created>
  <dcterms:modified xsi:type="dcterms:W3CDTF">2020-01-02T22:33:00Z</dcterms:modified>
</cp:coreProperties>
</file>