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2.png" ContentType="image/png"/>
  <Override PartName="/word/media/rId25.png" ContentType="image/png"/>
  <Override PartName="/word/media/rId27.png" ContentType="image/png"/>
  <Override PartName="/word/media/image2.gif" ContentType="image/gif"/>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1" w:name="yolo-opioid-overdose-snapshot-2014-q1-to-2016-q4"/>
      <w:bookmarkEnd w:id="21"/>
      <w:r>
        <w:t xml:space="preserve">Yolo Opioid Overdose Snapshot: 2014-Q1 to 2016-Q4</w:t>
      </w:r>
    </w:p>
    <w:p>
      <w:pPr>
        <w:pStyle w:val="FirstParagraph"/>
      </w:pPr>
      <w:r>
        <w:t xml:space="preserve">Yolo experienced 9 deaths due to all opioid-related overdoses in 2016, the most recent calendar year of data available. The annual crude mortality rate during that period was 4.2 per 100k residents. This represents a 32% decrease from 2014. The following charts present 12-month moving averages and annualized quarterly rates for selected opioid indicators. The map displays the annual zip code level rates for all opioid-related overdoses. Synthetic overdose deaths are likely to be largely represented by fentanyl.</w:t>
      </w:r>
    </w:p>
    <w:p>
      <w:pPr>
        <w:pStyle w:val="BodyText"/>
      </w:pPr>
      <w:r>
        <w:drawing>
          <wp:inline>
            <wp:extent cx="6858000" cy="6858000"/>
            <wp:effectExtent b="0" l="0" r="0" t="0"/>
            <wp:docPr descr="" title="" id="1" name="Picture"/>
            <a:graphic>
              <a:graphicData uri="http://schemas.openxmlformats.org/drawingml/2006/picture">
                <pic:pic>
                  <pic:nvPicPr>
                    <pic:cNvPr descr="/tmp/Rtmp1Y69dx/file36064b6232_files/figure-docx/unnamed-chunk-1-1.png" id="0" name="Picture"/>
                    <pic:cNvPicPr>
                      <a:picLocks noChangeArrowheads="1" noChangeAspect="1"/>
                    </pic:cNvPicPr>
                  </pic:nvPicPr>
                  <pic:blipFill>
                    <a:blip r:embed="rId22"/>
                    <a:stretch>
                      <a:fillRect/>
                    </a:stretch>
                  </pic:blipFill>
                  <pic:spPr bwMode="auto">
                    <a:xfrm>
                      <a:off x="0" y="0"/>
                      <a:ext cx="6858000" cy="6858000"/>
                    </a:xfrm>
                    <a:prstGeom prst="rect">
                      <a:avLst/>
                    </a:prstGeom>
                    <a:noFill/>
                    <a:ln w="9525">
                      <a:noFill/>
                      <a:headEnd/>
                      <a:tailEnd/>
                    </a:ln>
                  </pic:spPr>
                </pic:pic>
              </a:graphicData>
            </a:graphic>
          </wp:inline>
        </w:drawing>
      </w:r>
    </w:p>
    <w:p>
      <w:pPr>
        <w:pStyle w:val="Heading5"/>
      </w:pPr>
      <w:bookmarkStart w:id="23" w:name="section"/>
      <w:bookmarkEnd w:id="23"/>
    </w:p>
    <w:p>
      <w:pPr>
        <w:pStyle w:val="Heading3"/>
      </w:pPr>
      <w:bookmarkStart w:id="24" w:name="prescribing"/>
      <w:bookmarkEnd w:id="24"/>
      <w:r>
        <w:t xml:space="preserve">Prescribing</w:t>
      </w:r>
    </w:p>
    <w:p>
      <w:pPr>
        <w:pStyle w:val="FirstParagraph"/>
      </w:pPr>
      <w:r>
        <w:t xml:space="preserve">There were 128,290 prescriptions for opioids in Yolo in 2016, excluding buprenorphine. The annual prescribing rate during that period was 594.5 per 1,000 residents. This represents a 7% decrease in prescribing from 2014. The following charts present the annualized quarterly prescribing rates, MMEs (morphine milligram equivalents) per person per year, high dosage rate (i.e. greater than 90 Daily MMEs in the quarter), and the opioid/benzodiazepine overlap rate during 2016.</w:t>
      </w:r>
    </w:p>
    <w:p>
      <w:pPr>
        <w:pStyle w:val="BodyText"/>
      </w:pPr>
      <w:r>
        <w:drawing>
          <wp:inline>
            <wp:extent cx="6858000" cy="3429000"/>
            <wp:effectExtent b="0" l="0" r="0" t="0"/>
            <wp:docPr descr="" title="" id="1" name="Picture"/>
            <a:graphic>
              <a:graphicData uri="http://schemas.openxmlformats.org/drawingml/2006/picture">
                <pic:pic>
                  <pic:nvPicPr>
                    <pic:cNvPr descr="/tmp/Rtmp1Y69dx/file36064b6232_files/figure-docx/unnamed-chunk-3-1.png" id="0" name="Picture"/>
                    <pic:cNvPicPr>
                      <a:picLocks noChangeArrowheads="1" noChangeAspect="1"/>
                    </pic:cNvPicPr>
                  </pic:nvPicPr>
                  <pic:blipFill>
                    <a:blip r:embed="rId25"/>
                    <a:stretch>
                      <a:fillRect/>
                    </a:stretch>
                  </pic:blipFill>
                  <pic:spPr bwMode="auto">
                    <a:xfrm>
                      <a:off x="0" y="0"/>
                      <a:ext cx="6858000" cy="3429000"/>
                    </a:xfrm>
                    <a:prstGeom prst="rect">
                      <a:avLst/>
                    </a:prstGeom>
                    <a:noFill/>
                    <a:ln w="9525">
                      <a:noFill/>
                      <a:headEnd/>
                      <a:tailEnd/>
                    </a:ln>
                  </pic:spPr>
                </pic:pic>
              </a:graphicData>
            </a:graphic>
          </wp:inline>
        </w:drawing>
      </w:r>
    </w:p>
    <w:p>
      <w:pPr>
        <w:pStyle w:val="Heading3"/>
      </w:pPr>
      <w:bookmarkStart w:id="26" w:name="treatment"/>
      <w:bookmarkEnd w:id="26"/>
      <w:r>
        <w:t xml:space="preserve">Treatment</w:t>
      </w:r>
    </w:p>
    <w:p>
      <w:pPr>
        <w:pStyle w:val="FirstParagraph"/>
      </w:pPr>
      <w:r>
        <w:t xml:space="preserve">Buprenorphine prescriptions in the county are used to gauge the expansion of medication-assisted treatment (MAT). The annual buprenorphine prescribing rate in 2016 was 12.2 per 1,000 residents. This represents a 13% increase in buprenorphine prescribing from 2014.</w:t>
      </w:r>
    </w:p>
    <w:p>
      <w:pPr>
        <w:pStyle w:val="BodyText"/>
      </w:pPr>
      <w:r>
        <w:drawing>
          <wp:inline>
            <wp:extent cx="6858000" cy="1959428"/>
            <wp:effectExtent b="0" l="0" r="0" t="0"/>
            <wp:docPr descr="" title="" id="1" name="Picture"/>
            <a:graphic>
              <a:graphicData uri="http://schemas.openxmlformats.org/drawingml/2006/picture">
                <pic:pic>
                  <pic:nvPicPr>
                    <pic:cNvPr descr="/tmp/Rtmp1Y69dx/file36064b6232_files/figure-docx/unnamed-chunk-4-1.png" id="0" name="Picture"/>
                    <pic:cNvPicPr>
                      <a:picLocks noChangeArrowheads="1" noChangeAspect="1"/>
                    </pic:cNvPicPr>
                  </pic:nvPicPr>
                  <pic:blipFill>
                    <a:blip r:embed="rId27"/>
                    <a:stretch>
                      <a:fillRect/>
                    </a:stretch>
                  </pic:blipFill>
                  <pic:spPr bwMode="auto">
                    <a:xfrm>
                      <a:off x="0" y="0"/>
                      <a:ext cx="6858000" cy="1959428"/>
                    </a:xfrm>
                    <a:prstGeom prst="rect">
                      <a:avLst/>
                    </a:prstGeom>
                    <a:noFill/>
                    <a:ln w="9525">
                      <a:noFill/>
                      <a:headEnd/>
                      <a:tailEnd/>
                    </a:ln>
                  </pic:spPr>
                </pic:pic>
              </a:graphicData>
            </a:graphic>
          </wp:inline>
        </w:drawing>
      </w:r>
    </w:p>
    <w:sectPr w:rsidR="00152346" w:rsidSect="00A978E9">
      <w:headerReference w:type="default" r:id="rId8"/>
      <w:footerReference w:type="default" r:id="rId9"/>
      <w:pgSz w:w="12240" w:h="15840" w:code="1"/>
      <w:pgMar w:top="720" w:right="720" w:bottom="720" w:left="720" w:header="28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37DC8"/>
        <w:sz w:val="18"/>
      </w:rPr>
      <w:id w:val="-1319490129"/>
      <w:docPartObj>
        <w:docPartGallery w:val="Page Numbers (Bottom of Page)"/>
        <w:docPartUnique/>
      </w:docPartObj>
    </w:sdtPr>
    <w:sdtEndPr>
      <w:rPr>
        <w:noProof/>
        <w:color w:val="auto"/>
      </w:rPr>
    </w:sdtEndPr>
    <w:sdtContent>
      <w:p w:rsidR="006B1836" w:rsidRPr="0061443D" w:rsidRDefault="006B1836" w:rsidP="00072D65">
        <w:pPr>
          <w:pStyle w:val="Footer"/>
          <w:rPr>
            <w:rFonts w:ascii="Arial" w:hAnsi="Arial" w:cs="Arial"/>
            <w:color w:val="037DC8"/>
            <w:sz w:val="18"/>
          </w:rPr>
        </w:pPr>
        <w:r w:rsidRPr="0061443D">
          <w:rPr>
            <w:rFonts w:ascii="Arial" w:hAnsi="Arial" w:cs="Arial"/>
            <w:color w:val="037DC8"/>
            <w:sz w:val="18"/>
          </w:rPr>
          <w:t>Footnotes: 12-month rates are based on moving averages; OD = Overdose</w:t>
        </w:r>
        <w:r w:rsidR="0059005D" w:rsidRPr="0061443D">
          <w:rPr>
            <w:rFonts w:ascii="Arial" w:hAnsi="Arial" w:cs="Arial"/>
            <w:color w:val="037DC8"/>
            <w:sz w:val="18"/>
          </w:rPr>
          <w:t xml:space="preserve">; </w:t>
        </w:r>
        <w:proofErr w:type="spellStart"/>
        <w:r w:rsidR="0059005D" w:rsidRPr="0061443D">
          <w:rPr>
            <w:rFonts w:ascii="Arial" w:hAnsi="Arial" w:cs="Arial"/>
            <w:color w:val="037DC8"/>
            <w:sz w:val="18"/>
          </w:rPr>
          <w:t>Qtr</w:t>
        </w:r>
        <w:r w:rsidR="006124C3" w:rsidRPr="0061443D">
          <w:rPr>
            <w:rFonts w:ascii="Arial" w:hAnsi="Arial" w:cs="Arial"/>
            <w:color w:val="037DC8"/>
            <w:sz w:val="18"/>
          </w:rPr>
          <w:t>ly</w:t>
        </w:r>
        <w:proofErr w:type="spellEnd"/>
        <w:r w:rsidR="006124C3" w:rsidRPr="0061443D">
          <w:rPr>
            <w:rFonts w:ascii="Arial" w:hAnsi="Arial" w:cs="Arial"/>
            <w:color w:val="037DC8"/>
            <w:sz w:val="18"/>
          </w:rPr>
          <w:t xml:space="preserve"> = Annualized Quarter</w:t>
        </w:r>
      </w:p>
      <w:p w:rsidR="00072D65" w:rsidRPr="00C5658F" w:rsidRDefault="00072D65" w:rsidP="00072D65">
        <w:pPr>
          <w:pStyle w:val="Footer"/>
          <w:rPr>
            <w:rFonts w:ascii="Arial" w:hAnsi="Arial" w:cs="Arial"/>
            <w:sz w:val="18"/>
          </w:rPr>
        </w:pPr>
        <w:r w:rsidRPr="0061443D">
          <w:rPr>
            <w:rFonts w:ascii="Arial" w:hAnsi="Arial" w:cs="Arial"/>
            <w:color w:val="037DC8"/>
            <w:sz w:val="18"/>
          </w:rPr>
          <w:t>Report produced by the California Opioid Overdose Surveillance Dashboard</w:t>
        </w:r>
        <w:r w:rsidR="006B1836" w:rsidRPr="0061443D">
          <w:rPr>
            <w:rFonts w:ascii="Arial" w:hAnsi="Arial" w:cs="Arial"/>
            <w:color w:val="037DC8"/>
            <w:sz w:val="18"/>
          </w:rPr>
          <w:t xml:space="preserve"> - </w:t>
        </w:r>
        <w:hyperlink r:id="rId1" w:history="1">
          <w:r w:rsidR="006B1836" w:rsidRPr="0061443D">
            <w:rPr>
              <w:rFonts w:ascii="Arial" w:hAnsi="Arial" w:cs="Arial"/>
              <w:color w:val="037DC8"/>
              <w:sz w:val="18"/>
            </w:rPr>
            <w:t>https://cdph.ca.gov/opioiddasboard/</w:t>
          </w:r>
        </w:hyperlink>
        <w:r w:rsidRPr="0061443D">
          <w:rPr>
            <w:rFonts w:ascii="Arial" w:hAnsi="Arial" w:cs="Arial"/>
            <w:color w:val="037DC8"/>
            <w:sz w:val="18"/>
          </w:rPr>
          <w:tab/>
        </w:r>
        <w:r w:rsidRPr="0061443D">
          <w:rPr>
            <w:rFonts w:ascii="Arial" w:hAnsi="Arial" w:cs="Arial"/>
            <w:color w:val="037DC8"/>
            <w:sz w:val="18"/>
          </w:rPr>
          <w:tab/>
        </w:r>
        <w:r w:rsidRPr="0061443D">
          <w:rPr>
            <w:rFonts w:ascii="Arial" w:hAnsi="Arial" w:cs="Arial"/>
            <w:color w:val="037DC8"/>
            <w:sz w:val="18"/>
          </w:rPr>
          <w:fldChar w:fldCharType="begin"/>
        </w:r>
        <w:r w:rsidRPr="0061443D">
          <w:rPr>
            <w:rFonts w:ascii="Arial" w:hAnsi="Arial" w:cs="Arial"/>
            <w:color w:val="037DC8"/>
            <w:sz w:val="18"/>
          </w:rPr>
          <w:instrText xml:space="preserve"> PAGE   \* MERGEFORMAT </w:instrText>
        </w:r>
        <w:r w:rsidRPr="0061443D">
          <w:rPr>
            <w:rFonts w:ascii="Arial" w:hAnsi="Arial" w:cs="Arial"/>
            <w:color w:val="037DC8"/>
            <w:sz w:val="18"/>
          </w:rPr>
          <w:fldChar w:fldCharType="separate"/>
        </w:r>
        <w:r w:rsidR="00641221">
          <w:rPr>
            <w:rFonts w:ascii="Arial" w:hAnsi="Arial" w:cs="Arial"/>
            <w:noProof/>
            <w:color w:val="037DC8"/>
            <w:sz w:val="18"/>
          </w:rPr>
          <w:t>2</w:t>
        </w:r>
        <w:r w:rsidRPr="0061443D">
          <w:rPr>
            <w:rFonts w:ascii="Arial" w:hAnsi="Arial" w:cs="Arial"/>
            <w:noProof/>
            <w:color w:val="037DC8"/>
            <w:sz w:val="18"/>
          </w:rPr>
          <w:fldChar w:fldCharType="end"/>
        </w:r>
      </w:p>
    </w:sdtContent>
  </w:sdt>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8E9" w:rsidRDefault="00A978E9" w:rsidP="00A978E9">
    <w:pPr>
      <w:pStyle w:val="Header"/>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-154305</wp:posOffset>
          </wp:positionV>
          <wp:extent cx="2762250" cy="601345"/>
          <wp:effectExtent l="0" t="0" r="0" b="8255"/>
          <wp:wrapNone/>
          <wp:docPr id="2" name="Picture 2" descr="Image result for C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01345"/>
                  </a:xfrm>
                  <a:prstGeom prst="rect">
                    <a:avLst/>
                  </a:prstGeom>
                  <a:noFill/>
                  <a:ln>
                    <a:noFill/>
                  </a:ln>
                </pic:spPr>
              </pic:pic>
            </a:graphicData>
          </a:graphic>
        </wp:anchor>
      </w:drawing>
    </w:r>
  </w:p>
  <w:p w:rsidR="00B87690" w:rsidRPr="00A978E9" w:rsidRDefault="00A978E9" w:rsidP="00A978E9">
    <w:pPr>
      <w:pStyle w:val="Header"/>
      <w:rPr>
        <w:rFonts w:ascii="Arial" w:hAnsi="Arial" w:cs="Arial"/>
        <w:color w:val="037DC8"/>
        <w:sz w:val="20"/>
      </w:rPr>
    </w:pPr>
    <w:r w:rsidRPr="00A978E9">
      <w:rPr>
        <w:rFonts w:ascii="Arial" w:hAnsi="Arial" w:cs="Arial"/>
        <w:b/>
        <w:color w:val="037DC8"/>
      </w:rPr>
      <w:t>Prescription Drug Overdose Prevention Initiative</w:t>
    </w:r>
    <w:r w:rsidRPr="00A978E9">
      <w:rPr>
        <w:noProof/>
        <w:color w:val="037DC8"/>
      </w:rPr>
      <w:t xml:space="preserve"> </w:t>
    </w:r>
    <w:r w:rsidRPr="00A978E9">
      <w:rPr>
        <w:rFonts w:ascii="Arial" w:hAnsi="Arial" w:cs="Arial"/>
        <w:b/>
        <w:color w:val="037DC8"/>
      </w:rPr>
      <w:tab/>
    </w:r>
    <w:r w:rsidRPr="00A978E9">
      <w:rPr>
        <w:rFonts w:ascii="Arial" w:hAnsi="Arial" w:cs="Arial"/>
        <w:b/>
        <w:color w:val="037DC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D7DEE1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D104C4D"/>
    <w:multiLevelType w:val="multilevel"/>
    <w:tmpl w:val="F97A6D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d5f2681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1548D9"/>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0B60CE"/>
    <w:pPr>
      <w:keepNext/>
      <w:keepLines/>
      <w:pageBreakBefore/>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177923"/>
    <w:pPr>
      <w:spacing w:before="180" w:after="180"/>
    </w:pPr>
    <w:rPr>
      <w:rFonts w:ascii="Arial" w:hAnsi="Arial"/>
      <w:sz w:val="22"/>
    </w:rPr>
  </w:style>
  <w:style w:type="paragraph" w:customStyle="1" w:styleId="FirstParagraph">
    <w:name w:val="First Paragraph"/>
    <w:basedOn w:val="BodyText"/>
    <w:next w:val="BodyText"/>
    <w:qFormat/>
    <w:rsid w:val="00177923"/>
  </w:style>
  <w:style w:type="paragraph" w:customStyle="1" w:styleId="Compact">
    <w:name w:val="Compact"/>
    <w:basedOn w:val="BodyText"/>
    <w:qFormat/>
    <w:pPr>
      <w:spacing w:before="36" w:after="36"/>
    </w:pPr>
  </w:style>
  <w:style w:type="paragraph" w:styleId="Title">
    <w:name w:val="Title"/>
    <w:basedOn w:val="Normal"/>
    <w:next w:val="BodyText"/>
    <w:qFormat/>
    <w:rsid w:val="00641221"/>
    <w:pPr>
      <w:keepNext/>
      <w:keepLines/>
      <w:spacing w:before="240" w:after="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Pr>
      <w:sz w:val="30"/>
      <w:szCs w:val="30"/>
    </w:rPr>
  </w:style>
  <w:style w:type="paragraph" w:customStyle="1" w:styleId="Author">
    <w:name w:val="Author"/>
    <w:next w:val="BodyText"/>
    <w:qFormat/>
    <w:rsid w:val="0094330A"/>
    <w:pPr>
      <w:keepNext/>
      <w:keepLines/>
      <w:jc w:val="center"/>
    </w:pPr>
    <w:rPr>
      <w:rFonts w:ascii="Arial" w:hAnsi="Arial"/>
    </w:rPr>
  </w:style>
  <w:style w:type="paragraph" w:styleId="Date">
    <w:name w:val="Date"/>
    <w:next w:val="BodyText"/>
    <w:qFormat/>
    <w:rsid w:val="0094330A"/>
    <w:pPr>
      <w:keepNext/>
      <w:keepLines/>
      <w:jc w:val="center"/>
    </w:pPr>
    <w:rPr>
      <w:rFonts w:ascii="Arial" w:hAnsi="Arial"/>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B87690"/>
    <w:pPr>
      <w:tabs>
        <w:tab w:val="center" w:pos="4680"/>
        <w:tab w:val="right" w:pos="9360"/>
      </w:tabs>
      <w:spacing w:after="0"/>
    </w:pPr>
  </w:style>
  <w:style w:type="character" w:customStyle="1" w:styleId="HeaderChar">
    <w:name w:val="Header Char"/>
    <w:basedOn w:val="DefaultParagraphFont"/>
    <w:link w:val="Header"/>
    <w:uiPriority w:val="99"/>
    <w:rsid w:val="00B87690"/>
  </w:style>
  <w:style w:type="paragraph" w:styleId="Footer">
    <w:name w:val="footer"/>
    <w:basedOn w:val="Normal"/>
    <w:link w:val="FooterChar"/>
    <w:uiPriority w:val="99"/>
    <w:unhideWhenUsed/>
    <w:rsid w:val="00B87690"/>
    <w:pPr>
      <w:tabs>
        <w:tab w:val="center" w:pos="4680"/>
        <w:tab w:val="right" w:pos="9360"/>
      </w:tabs>
      <w:spacing w:after="0"/>
    </w:pPr>
  </w:style>
  <w:style w:type="character" w:customStyle="1" w:styleId="FooterChar">
    <w:name w:val="Footer Char"/>
    <w:basedOn w:val="DefaultParagraphFont"/>
    <w:link w:val="Footer"/>
    <w:uiPriority w:val="99"/>
    <w:rsid w:val="00B87690"/>
  </w:style>
  <w:style w:type="table" w:styleId="TableGrid">
    <w:name w:val="Table Grid"/>
    <w:basedOn w:val="TableNormal"/>
    <w:rsid w:val="001548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B04B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Id="rId9"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7" Target="media/rId27.png" /></Relationships>
</file>

<file path=word/_rels/footer1.xml.rels><?xml version="1.0" encoding="UTF-8" standalone="yes"?>
<Relationships xmlns="http://schemas.openxmlformats.org/package/2006/relationships"><Relationship Id="rId1" Type="http://schemas.openxmlformats.org/officeDocument/2006/relationships/hyperlink" Target="https://cdph.ca.gov/opioiddasboard/" TargetMode="External"/></Relationships>
</file>

<file path=word/_rels/footnotes.xml.rels><?xml version="1.0" encoding="UTF-8"?>
<Relationships xmlns="http://schemas.openxmlformats.org/package/2006/relationships" />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styles</vt:lpstr>
    </vt:vector>
  </TitlesOfParts>
  <Company>CDPH</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2017-10-30T19:43:31Z</dcterms:created>
  <dcterms:modified xsi:type="dcterms:W3CDTF">2017-10-30T19:43:31Z</dcterms:modified>
</cp:coreProperties>
</file>